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8478"/>
      </w:tblGrid>
      <w:tr w:rsidR="00DD4093" w:rsidTr="003D5C80">
        <w:tc>
          <w:tcPr>
            <w:tcW w:w="1098" w:type="dxa"/>
          </w:tcPr>
          <w:p w:rsidR="00DD4093" w:rsidRDefault="00DD4093" w:rsidP="00DD4093">
            <w:bookmarkStart w:id="0" w:name="_GoBack"/>
            <w:bookmarkEnd w:id="0"/>
            <w:r>
              <w:t>TO:</w:t>
            </w:r>
          </w:p>
        </w:tc>
        <w:tc>
          <w:tcPr>
            <w:tcW w:w="8478" w:type="dxa"/>
          </w:tcPr>
          <w:p w:rsidR="00DD4093" w:rsidRDefault="00DD4093" w:rsidP="00DD4093">
            <w:r>
              <w:t>GCDAMP Technical Work Group, Steering Committee AHG</w:t>
            </w:r>
          </w:p>
        </w:tc>
      </w:tr>
      <w:tr w:rsidR="00DD4093" w:rsidTr="003D5C80">
        <w:tc>
          <w:tcPr>
            <w:tcW w:w="1098" w:type="dxa"/>
          </w:tcPr>
          <w:p w:rsidR="00DD4093" w:rsidRDefault="00DD4093" w:rsidP="00DD4093">
            <w:r>
              <w:t>FROM:</w:t>
            </w:r>
          </w:p>
        </w:tc>
        <w:tc>
          <w:tcPr>
            <w:tcW w:w="8478" w:type="dxa"/>
          </w:tcPr>
          <w:p w:rsidR="00DD4093" w:rsidRDefault="00DD4093" w:rsidP="00DD4093">
            <w:r>
              <w:t>David Braun, Executive Coordinator/Science Advisors Program</w:t>
            </w:r>
          </w:p>
        </w:tc>
      </w:tr>
      <w:tr w:rsidR="00DD4093" w:rsidTr="003D5C80">
        <w:tc>
          <w:tcPr>
            <w:tcW w:w="1098" w:type="dxa"/>
          </w:tcPr>
          <w:p w:rsidR="00DD4093" w:rsidRDefault="00DD4093" w:rsidP="00DD4093">
            <w:r>
              <w:t>DATE:</w:t>
            </w:r>
          </w:p>
        </w:tc>
        <w:tc>
          <w:tcPr>
            <w:tcW w:w="8478" w:type="dxa"/>
          </w:tcPr>
          <w:p w:rsidR="00DD4093" w:rsidRDefault="00DD4093" w:rsidP="00DD4093">
            <w:r>
              <w:t>November 28, 2016</w:t>
            </w:r>
          </w:p>
        </w:tc>
      </w:tr>
      <w:tr w:rsidR="00DD4093" w:rsidTr="003D5C80">
        <w:tc>
          <w:tcPr>
            <w:tcW w:w="1098" w:type="dxa"/>
          </w:tcPr>
          <w:p w:rsidR="00DD4093" w:rsidRDefault="00DD4093" w:rsidP="00DD4093">
            <w:r>
              <w:t>RE:</w:t>
            </w:r>
          </w:p>
        </w:tc>
        <w:tc>
          <w:tcPr>
            <w:tcW w:w="8478" w:type="dxa"/>
          </w:tcPr>
          <w:p w:rsidR="00DD4093" w:rsidRDefault="003D5C80" w:rsidP="00DD4093">
            <w:r>
              <w:t>Symbol set(s) for displaying Knowledge Assessment findings</w:t>
            </w:r>
          </w:p>
        </w:tc>
      </w:tr>
    </w:tbl>
    <w:p w:rsidR="00DD4093" w:rsidRDefault="00D419B0" w:rsidP="00DD4093">
      <w:r>
        <w:pict>
          <v:rect id="_x0000_i1025" style="width:0;height:1.5pt" o:hralign="center" o:hrstd="t" o:hr="t" fillcolor="#a0a0a0" stroked="f"/>
        </w:pict>
      </w:r>
    </w:p>
    <w:p w:rsidR="00F637F2" w:rsidRDefault="00031F5B" w:rsidP="00DD4093">
      <w:r>
        <w:t xml:space="preserve">The Steering Committee Ad Hoc Group (SCAHG) of the Technical Work Group (TWG) needs to </w:t>
      </w:r>
      <w:r w:rsidR="006B0359">
        <w:t>approve</w:t>
      </w:r>
      <w:r>
        <w:t xml:space="preserve"> the symbol sets to be used to display the findings of the current Knowledge Assessment (KA)</w:t>
      </w:r>
      <w:r w:rsidR="00E80040">
        <w:t>. The symbol sets make it possible to translate the findings into a “scorecard” format for rapid visualization.</w:t>
      </w:r>
    </w:p>
    <w:p w:rsidR="005E5599" w:rsidRDefault="00E80040" w:rsidP="00DD4093">
      <w:r>
        <w:t>The KA has three components</w:t>
      </w:r>
      <w:r w:rsidR="0078379D">
        <w:t>,</w:t>
      </w:r>
      <w:r w:rsidR="004737E1">
        <w:t xml:space="preserve"> (in shorthand) “status/trend,” “driver/constraint,” and “management/impacts.” </w:t>
      </w:r>
      <w:r>
        <w:t xml:space="preserve">The </w:t>
      </w:r>
      <w:r w:rsidR="004737E1">
        <w:t>status/trend component</w:t>
      </w:r>
      <w:r w:rsidR="00AB7DBD">
        <w:t xml:space="preserve"> comes with a “built-in” symbol set, because </w:t>
      </w:r>
      <w:r w:rsidR="004737E1">
        <w:t>it</w:t>
      </w:r>
      <w:r w:rsidR="00AB7DBD">
        <w:t xml:space="preserve"> largely follows the methods developed by the National Park Service for its Natural Resource Condition Assessment (NRCA) progra</w:t>
      </w:r>
      <w:r w:rsidR="00BC31DF">
        <w:t>m. However, there is no built-in symbol set for the other two components of the KA, because the NRCA methodology does not address these topics.</w:t>
      </w:r>
    </w:p>
    <w:p w:rsidR="00E80040" w:rsidRDefault="004737E1" w:rsidP="00DD4093">
      <w:r>
        <w:t xml:space="preserve">The SCAHG has </w:t>
      </w:r>
      <w:r w:rsidR="00145080">
        <w:t>three</w:t>
      </w:r>
      <w:r>
        <w:t xml:space="preserve"> basic options for </w:t>
      </w:r>
      <w:r w:rsidR="00145080">
        <w:t xml:space="preserve">establishing the symbol sets for the other two components of the KA: (1) </w:t>
      </w:r>
      <w:r>
        <w:t>repurpose the NRCA symbol set</w:t>
      </w:r>
      <w:r w:rsidR="00145080">
        <w:t xml:space="preserve">; (2) adopt a </w:t>
      </w:r>
      <w:r w:rsidR="005E5599">
        <w:t>second</w:t>
      </w:r>
      <w:r w:rsidR="00145080">
        <w:t xml:space="preserve"> symbol set </w:t>
      </w:r>
      <w:r w:rsidR="0078379D">
        <w:t>to use with</w:t>
      </w:r>
      <w:r w:rsidR="005E5599">
        <w:t xml:space="preserve"> both of the latter </w:t>
      </w:r>
      <w:r w:rsidR="006B0359">
        <w:t xml:space="preserve">two </w:t>
      </w:r>
      <w:r w:rsidR="005E5599">
        <w:t>components</w:t>
      </w:r>
      <w:r w:rsidR="00145080">
        <w:t xml:space="preserve">; or (3) </w:t>
      </w:r>
      <w:r w:rsidR="005E5599">
        <w:t xml:space="preserve">adopt a second symbol set </w:t>
      </w:r>
      <w:r w:rsidR="00BC31DF">
        <w:t>to</w:t>
      </w:r>
      <w:r w:rsidR="005E5599">
        <w:t xml:space="preserve"> use with the driver/constraint scorecard, and yet a third symbol set </w:t>
      </w:r>
      <w:r w:rsidR="00BC31DF">
        <w:t>to</w:t>
      </w:r>
      <w:r w:rsidR="005E5599">
        <w:t xml:space="preserve"> use with the management/impacts scorecard. There are pros and cons to each approach. This memo presents these pros and cons and possible symbol sets</w:t>
      </w:r>
      <w:r w:rsidR="002C37F3">
        <w:t xml:space="preserve"> for the second and third options</w:t>
      </w:r>
      <w:r w:rsidR="005E5599">
        <w:t>.</w:t>
      </w:r>
    </w:p>
    <w:p w:rsidR="007C09E9" w:rsidRDefault="005E5599" w:rsidP="007C09E9">
      <w:pPr>
        <w:rPr>
          <w:b/>
          <w:u w:val="single"/>
        </w:rPr>
      </w:pPr>
      <w:r>
        <w:rPr>
          <w:b/>
          <w:u w:val="single"/>
        </w:rPr>
        <w:t xml:space="preserve">The </w:t>
      </w:r>
      <w:r w:rsidR="0078379D">
        <w:rPr>
          <w:b/>
          <w:u w:val="single"/>
        </w:rPr>
        <w:t>Status/Trend</w:t>
      </w:r>
      <w:r>
        <w:rPr>
          <w:b/>
          <w:u w:val="single"/>
        </w:rPr>
        <w:t xml:space="preserve"> Symbol Set</w:t>
      </w:r>
    </w:p>
    <w:p w:rsidR="00826773" w:rsidRDefault="00826773" w:rsidP="0078379D">
      <w:r>
        <w:t>As noted above, t</w:t>
      </w:r>
      <w:r w:rsidR="00BC31DF">
        <w:t xml:space="preserve">he </w:t>
      </w:r>
      <w:r>
        <w:t xml:space="preserve">GCDAMP FY17 KA status/trend assessment </w:t>
      </w:r>
      <w:r w:rsidRPr="00826773">
        <w:rPr>
          <w:i/>
        </w:rPr>
        <w:t>largely</w:t>
      </w:r>
      <w:r>
        <w:t xml:space="preserve"> follows the methods developed by the National Park Service for its Natural Resource Condition Assessment (NRCA) program. </w:t>
      </w:r>
      <w:r w:rsidR="000D44F2">
        <w:t>We</w:t>
      </w:r>
      <w:r>
        <w:t xml:space="preserve"> say “largely,” because t</w:t>
      </w:r>
      <w:r w:rsidRPr="00826773">
        <w:t>he GCDAMP FY17 KA modifies the NRCA methodology in two ways</w:t>
      </w:r>
      <w:r w:rsidR="007D25D9">
        <w:t>. First,</w:t>
      </w:r>
      <w:r w:rsidRPr="00826773">
        <w:t xml:space="preserve"> it adds </w:t>
      </w:r>
      <w:r w:rsidR="007D25D9">
        <w:t>“Unknown” categories</w:t>
      </w:r>
      <w:r w:rsidRPr="00826773">
        <w:t xml:space="preserve"> for rating both Status and Trend</w:t>
      </w:r>
      <w:r w:rsidR="00B33072">
        <w:t>, and therefore adds symbols for these categories</w:t>
      </w:r>
      <w:r w:rsidR="007D25D9">
        <w:t>. Second,</w:t>
      </w:r>
      <w:r w:rsidRPr="00826773">
        <w:t xml:space="preserve"> it refines and formalizes the definitions of “status,” “trend,” and especially “confidence” based on the methods of the Sacramento-San Joaquin Bay-Delta Ecosystem Restoration Program.</w:t>
      </w:r>
      <w:r w:rsidR="007D25D9">
        <w:t xml:space="preserve"> The separate document, “</w:t>
      </w:r>
      <w:r w:rsidR="007D25D9" w:rsidRPr="007D25D9">
        <w:t>GCDAMP 2016-17 ‘Knowledge Assessment’ Guidance</w:t>
      </w:r>
      <w:r w:rsidR="007D25D9">
        <w:t xml:space="preserve">,” dated November 10, 2016, presents the definitions for all rating categories for </w:t>
      </w:r>
      <w:r w:rsidR="007D25D9" w:rsidRPr="00826773">
        <w:t>“status,” “trend,” and “confidence</w:t>
      </w:r>
      <w:r w:rsidR="007D25D9">
        <w:t>.</w:t>
      </w:r>
      <w:r w:rsidR="007D25D9" w:rsidRPr="00826773">
        <w:t>”</w:t>
      </w:r>
    </w:p>
    <w:p w:rsidR="00A31293" w:rsidRDefault="00D95B22" w:rsidP="0078379D">
      <w:r>
        <w:t xml:space="preserve">The NRCA symbol set “works” by presenting information in a hierarchical visual system. </w:t>
      </w:r>
    </w:p>
    <w:p w:rsidR="00A31293" w:rsidRDefault="00D95B22" w:rsidP="00A31293">
      <w:pPr>
        <w:pStyle w:val="ListParagraph"/>
        <w:numPr>
          <w:ilvl w:val="0"/>
          <w:numId w:val="1"/>
        </w:numPr>
      </w:pPr>
      <w:r>
        <w:t xml:space="preserve">All symbols have the same size and shape – a standardized circle. As a result, symbol size and shape </w:t>
      </w:r>
      <w:r w:rsidR="006B0359">
        <w:t>do not</w:t>
      </w:r>
      <w:r w:rsidR="00A31293">
        <w:t xml:space="preserve"> convey </w:t>
      </w:r>
      <w:r w:rsidR="006B0359">
        <w:t xml:space="preserve">any </w:t>
      </w:r>
      <w:r w:rsidR="00A31293">
        <w:t>information</w:t>
      </w:r>
      <w:r w:rsidR="002C37F3">
        <w:t xml:space="preserve"> other than identifying the scorecard</w:t>
      </w:r>
      <w:r w:rsidR="00A31293">
        <w:t>.</w:t>
      </w:r>
    </w:p>
    <w:p w:rsidR="00D95B22" w:rsidRDefault="00A31293" w:rsidP="00A31293">
      <w:pPr>
        <w:pStyle w:val="ListParagraph"/>
        <w:numPr>
          <w:ilvl w:val="0"/>
          <w:numId w:val="1"/>
        </w:numPr>
      </w:pPr>
      <w:r>
        <w:t xml:space="preserve">The </w:t>
      </w:r>
      <w:r w:rsidR="00906C70">
        <w:t xml:space="preserve">first, most </w:t>
      </w:r>
      <w:r>
        <w:t xml:space="preserve">noticeable, </w:t>
      </w:r>
      <w:r w:rsidRPr="003A5B31">
        <w:rPr>
          <w:i/>
        </w:rPr>
        <w:t>variable</w:t>
      </w:r>
      <w:r>
        <w:t xml:space="preserve"> property of each circle is its color. The symbol set uses the green-yellow-red convention for color, a convention used world-wide to indicate conditions on a scale from good to fair to poor (or go</w:t>
      </w:r>
      <w:r w:rsidR="00B71474">
        <w:t xml:space="preserve">, </w:t>
      </w:r>
      <w:r>
        <w:t xml:space="preserve">proceed </w:t>
      </w:r>
      <w:r w:rsidR="00B71474">
        <w:t xml:space="preserve">but </w:t>
      </w:r>
      <w:r>
        <w:t>with caution</w:t>
      </w:r>
      <w:r w:rsidR="00B71474">
        <w:t xml:space="preserve">, </w:t>
      </w:r>
      <w:r>
        <w:t>stop).</w:t>
      </w:r>
      <w:r w:rsidR="00B71474">
        <w:t xml:space="preserve"> The ultimate purpose of this convention is to warn the viewer when conditions warrant caution or immediate attention.</w:t>
      </w:r>
    </w:p>
    <w:p w:rsidR="00B71474" w:rsidRDefault="00B71474" w:rsidP="00A31293">
      <w:pPr>
        <w:pStyle w:val="ListParagraph"/>
        <w:numPr>
          <w:ilvl w:val="0"/>
          <w:numId w:val="1"/>
        </w:numPr>
      </w:pPr>
      <w:r>
        <w:t>The second</w:t>
      </w:r>
      <w:r w:rsidR="00906C70">
        <w:t xml:space="preserve"> most-</w:t>
      </w:r>
      <w:r>
        <w:t xml:space="preserve">noticeable, </w:t>
      </w:r>
      <w:r w:rsidRPr="003A5B31">
        <w:rPr>
          <w:i/>
        </w:rPr>
        <w:t>variable</w:t>
      </w:r>
      <w:r>
        <w:t xml:space="preserve"> property of each circle is the shape of an enclosed arro</w:t>
      </w:r>
      <w:r w:rsidR="007B3AB2">
        <w:t>w: up, down, or left-right (indicating “neither up nor down”). The shape occurs as a silhouette imposed on top of the colored field.</w:t>
      </w:r>
    </w:p>
    <w:p w:rsidR="007B3AB2" w:rsidRDefault="007B3AB2" w:rsidP="00A31293">
      <w:pPr>
        <w:pStyle w:val="ListParagraph"/>
        <w:numPr>
          <w:ilvl w:val="0"/>
          <w:numId w:val="1"/>
        </w:numPr>
      </w:pPr>
      <w:r>
        <w:lastRenderedPageBreak/>
        <w:t xml:space="preserve">The third variable property of each circle is less readily noticeable than the other two, and consists of a </w:t>
      </w:r>
      <w:r w:rsidR="003A5B31">
        <w:t xml:space="preserve">circling </w:t>
      </w:r>
      <w:r>
        <w:t xml:space="preserve">border </w:t>
      </w:r>
      <w:r w:rsidR="00392035">
        <w:t xml:space="preserve">that varies in its texture (style): </w:t>
      </w:r>
      <w:r>
        <w:t xml:space="preserve">thick, thin, </w:t>
      </w:r>
      <w:r w:rsidR="00392035">
        <w:t>or intermittent.</w:t>
      </w:r>
    </w:p>
    <w:p w:rsidR="00392035" w:rsidRPr="00D4307B" w:rsidRDefault="00392035" w:rsidP="00A31293">
      <w:pPr>
        <w:pStyle w:val="ListParagraph"/>
        <w:numPr>
          <w:ilvl w:val="0"/>
          <w:numId w:val="1"/>
        </w:numPr>
      </w:pPr>
      <w:r>
        <w:t xml:space="preserve">The eye </w:t>
      </w:r>
      <w:r w:rsidR="003A5B31">
        <w:t>registers</w:t>
      </w:r>
      <w:r>
        <w:t xml:space="preserve"> these three types of </w:t>
      </w:r>
      <w:r w:rsidR="009A0840" w:rsidRPr="003A5B31">
        <w:t>variable</w:t>
      </w:r>
      <w:r w:rsidR="009A0840">
        <w:t xml:space="preserve"> </w:t>
      </w:r>
      <w:r>
        <w:t xml:space="preserve">information in the same sequence: color, enclosed arrow shape, border style. The result implies a hierarchy of </w:t>
      </w:r>
      <w:r w:rsidR="001507B3">
        <w:t xml:space="preserve">importance to the </w:t>
      </w:r>
      <w:r>
        <w:t>information</w:t>
      </w:r>
      <w:r w:rsidR="001507B3">
        <w:t xml:space="preserve"> being conveyed</w:t>
      </w:r>
      <w:r>
        <w:t>: status</w:t>
      </w:r>
      <w:r w:rsidR="001507B3">
        <w:t>, then trend, and then finally confidence.</w:t>
      </w:r>
    </w:p>
    <w:tbl>
      <w:tblPr>
        <w:tblStyle w:val="TableGrid"/>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08"/>
        <w:gridCol w:w="2232"/>
        <w:gridCol w:w="1008"/>
        <w:gridCol w:w="2232"/>
        <w:gridCol w:w="1008"/>
        <w:gridCol w:w="2232"/>
      </w:tblGrid>
      <w:tr w:rsidR="0095667A" w:rsidRPr="0098497F" w:rsidTr="0095667A">
        <w:tc>
          <w:tcPr>
            <w:tcW w:w="9720" w:type="dxa"/>
            <w:gridSpan w:val="6"/>
            <w:shd w:val="clear" w:color="auto" w:fill="auto"/>
            <w:tcMar>
              <w:top w:w="86" w:type="dxa"/>
              <w:left w:w="86" w:type="dxa"/>
              <w:bottom w:w="86" w:type="dxa"/>
              <w:right w:w="86" w:type="dxa"/>
            </w:tcMar>
            <w:vAlign w:val="center"/>
          </w:tcPr>
          <w:p w:rsidR="0095667A" w:rsidRPr="0098497F" w:rsidRDefault="0095667A" w:rsidP="0095667A">
            <w:pPr>
              <w:rPr>
                <w:rFonts w:ascii="Arial" w:hAnsi="Arial" w:cs="Arial"/>
                <w:b/>
              </w:rPr>
            </w:pPr>
            <w:r w:rsidRPr="0095667A">
              <w:rPr>
                <w:rFonts w:ascii="Arial" w:hAnsi="Arial" w:cs="Arial"/>
                <w:b/>
              </w:rPr>
              <w:t>Status/Trend Symbol Set</w:t>
            </w:r>
          </w:p>
        </w:tc>
      </w:tr>
      <w:tr w:rsidR="007C09E9" w:rsidRPr="0098497F" w:rsidTr="00E437FD">
        <w:tc>
          <w:tcPr>
            <w:tcW w:w="3240" w:type="dxa"/>
            <w:gridSpan w:val="2"/>
            <w:shd w:val="clear" w:color="auto" w:fill="F2F2F2"/>
            <w:tcMar>
              <w:top w:w="86" w:type="dxa"/>
              <w:left w:w="86" w:type="dxa"/>
              <w:bottom w:w="86" w:type="dxa"/>
              <w:right w:w="86" w:type="dxa"/>
            </w:tcMar>
            <w:vAlign w:val="center"/>
            <w:hideMark/>
          </w:tcPr>
          <w:p w:rsidR="007C09E9" w:rsidRPr="0098497F" w:rsidRDefault="00192E96" w:rsidP="00E437FD">
            <w:pPr>
              <w:jc w:val="center"/>
              <w:rPr>
                <w:rFonts w:ascii="Arial" w:hAnsi="Arial" w:cs="Arial"/>
                <w:b/>
              </w:rPr>
            </w:pPr>
            <w:r>
              <w:rPr>
                <w:rFonts w:ascii="Arial" w:hAnsi="Arial" w:cs="Arial"/>
                <w:b/>
              </w:rPr>
              <w:t>Resource</w:t>
            </w:r>
            <w:r w:rsidR="007C09E9" w:rsidRPr="0098497F">
              <w:rPr>
                <w:rFonts w:ascii="Arial" w:hAnsi="Arial" w:cs="Arial"/>
                <w:b/>
              </w:rPr>
              <w:t xml:space="preserve"> Status</w:t>
            </w:r>
          </w:p>
        </w:tc>
        <w:tc>
          <w:tcPr>
            <w:tcW w:w="3240" w:type="dxa"/>
            <w:gridSpan w:val="2"/>
            <w:shd w:val="clear" w:color="auto" w:fill="F2F2F2"/>
            <w:tcMar>
              <w:top w:w="86" w:type="dxa"/>
              <w:left w:w="86" w:type="dxa"/>
              <w:bottom w:w="86" w:type="dxa"/>
              <w:right w:w="86" w:type="dxa"/>
            </w:tcMar>
            <w:vAlign w:val="center"/>
            <w:hideMark/>
          </w:tcPr>
          <w:p w:rsidR="007C09E9" w:rsidRPr="0098497F" w:rsidRDefault="00192E96" w:rsidP="00192E96">
            <w:pPr>
              <w:jc w:val="center"/>
              <w:rPr>
                <w:rFonts w:ascii="Arial" w:hAnsi="Arial" w:cs="Arial"/>
                <w:b/>
              </w:rPr>
            </w:pPr>
            <w:r>
              <w:rPr>
                <w:rFonts w:ascii="Arial" w:hAnsi="Arial" w:cs="Arial"/>
                <w:b/>
              </w:rPr>
              <w:t>Trend in Status</w:t>
            </w:r>
          </w:p>
        </w:tc>
        <w:tc>
          <w:tcPr>
            <w:tcW w:w="3240" w:type="dxa"/>
            <w:gridSpan w:val="2"/>
            <w:shd w:val="clear" w:color="auto" w:fill="F2F2F2"/>
            <w:tcMar>
              <w:top w:w="86" w:type="dxa"/>
              <w:left w:w="86" w:type="dxa"/>
              <w:bottom w:w="86" w:type="dxa"/>
              <w:right w:w="86" w:type="dxa"/>
            </w:tcMar>
            <w:vAlign w:val="center"/>
            <w:hideMark/>
          </w:tcPr>
          <w:p w:rsidR="007C09E9" w:rsidRPr="0098497F" w:rsidRDefault="007C09E9" w:rsidP="00E437FD">
            <w:pPr>
              <w:jc w:val="center"/>
              <w:rPr>
                <w:rFonts w:ascii="Arial" w:hAnsi="Arial" w:cs="Arial"/>
              </w:rPr>
            </w:pPr>
            <w:r w:rsidRPr="0098497F">
              <w:rPr>
                <w:rFonts w:ascii="Arial" w:hAnsi="Arial" w:cs="Arial"/>
                <w:b/>
              </w:rPr>
              <w:t xml:space="preserve">Confidence in </w:t>
            </w:r>
            <w:r>
              <w:rPr>
                <w:rFonts w:ascii="Arial" w:hAnsi="Arial" w:cs="Arial"/>
                <w:b/>
              </w:rPr>
              <w:t>Status</w:t>
            </w:r>
            <w:r w:rsidR="00192E96">
              <w:rPr>
                <w:rFonts w:ascii="Arial" w:hAnsi="Arial" w:cs="Arial"/>
                <w:b/>
              </w:rPr>
              <w:t xml:space="preserve"> &amp; Trend</w:t>
            </w:r>
            <w:r>
              <w:rPr>
                <w:rFonts w:ascii="Arial" w:hAnsi="Arial" w:cs="Arial"/>
                <w:b/>
              </w:rPr>
              <w:t xml:space="preserve"> </w:t>
            </w:r>
            <w:r w:rsidRPr="0098497F">
              <w:rPr>
                <w:rFonts w:ascii="Arial" w:hAnsi="Arial" w:cs="Arial"/>
                <w:b/>
              </w:rPr>
              <w:t>Assessment</w:t>
            </w:r>
            <w:r w:rsidR="00192E96">
              <w:rPr>
                <w:rFonts w:ascii="Arial" w:hAnsi="Arial" w:cs="Arial"/>
                <w:b/>
              </w:rPr>
              <w:t>s</w:t>
            </w:r>
          </w:p>
        </w:tc>
      </w:tr>
      <w:tr w:rsidR="00192E96" w:rsidRPr="0098497F" w:rsidTr="00E437FD">
        <w:trPr>
          <w:trHeight w:val="864"/>
        </w:trPr>
        <w:tc>
          <w:tcPr>
            <w:tcW w:w="1008" w:type="dxa"/>
            <w:tcMar>
              <w:top w:w="29" w:type="dxa"/>
              <w:left w:w="29" w:type="dxa"/>
              <w:bottom w:w="29" w:type="dxa"/>
              <w:right w:w="29" w:type="dxa"/>
            </w:tcMar>
            <w:vAlign w:val="center"/>
            <w:hideMark/>
          </w:tcPr>
          <w:p w:rsidR="00192E96" w:rsidRPr="0098497F" w:rsidRDefault="00192E96" w:rsidP="00F20A0B">
            <w:pPr>
              <w:jc w:val="center"/>
              <w:rPr>
                <w:rFonts w:ascii="Arial" w:hAnsi="Arial" w:cs="Arial"/>
              </w:rPr>
            </w:pPr>
            <w:r>
              <w:rPr>
                <w:rFonts w:ascii="Arial" w:hAnsi="Arial" w:cs="Arial"/>
                <w:noProof/>
              </w:rPr>
              <w:drawing>
                <wp:inline distT="0" distB="0" distL="0" distR="0" wp14:anchorId="202BB629" wp14:editId="47F7FC11">
                  <wp:extent cx="604520" cy="604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192E96" w:rsidRPr="0098497F" w:rsidRDefault="00192E96" w:rsidP="00F20A0B">
            <w:pPr>
              <w:jc w:val="center"/>
              <w:rPr>
                <w:rFonts w:ascii="Arial" w:hAnsi="Arial" w:cs="Arial"/>
                <w:sz w:val="21"/>
                <w:szCs w:val="21"/>
              </w:rPr>
            </w:pPr>
            <w:r w:rsidRPr="0098497F">
              <w:rPr>
                <w:rFonts w:ascii="Arial" w:hAnsi="Arial" w:cs="Arial"/>
                <w:sz w:val="21"/>
                <w:szCs w:val="21"/>
              </w:rPr>
              <w:t>Resource is in Good Condition</w:t>
            </w:r>
          </w:p>
        </w:tc>
        <w:tc>
          <w:tcPr>
            <w:tcW w:w="1008"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Pr>
                <w:rFonts w:ascii="Arial" w:hAnsi="Arial" w:cs="Arial"/>
                <w:noProof/>
                <w:sz w:val="21"/>
                <w:szCs w:val="21"/>
              </w:rPr>
              <w:drawing>
                <wp:inline distT="0" distB="0" distL="0" distR="0" wp14:anchorId="0F8DE25C" wp14:editId="51319027">
                  <wp:extent cx="342646" cy="457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 cy="45720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sidRPr="0098497F">
              <w:rPr>
                <w:rFonts w:ascii="Arial" w:hAnsi="Arial" w:cs="Arial"/>
                <w:sz w:val="21"/>
                <w:szCs w:val="21"/>
              </w:rPr>
              <w:t>Condition is</w:t>
            </w:r>
            <w:r>
              <w:rPr>
                <w:rFonts w:ascii="Arial" w:hAnsi="Arial" w:cs="Arial"/>
                <w:sz w:val="21"/>
                <w:szCs w:val="21"/>
              </w:rPr>
              <w:br/>
            </w:r>
            <w:r w:rsidRPr="0098497F">
              <w:rPr>
                <w:rFonts w:ascii="Arial" w:hAnsi="Arial" w:cs="Arial"/>
                <w:sz w:val="21"/>
                <w:szCs w:val="21"/>
              </w:rPr>
              <w:t>Improving</w:t>
            </w:r>
          </w:p>
        </w:tc>
        <w:tc>
          <w:tcPr>
            <w:tcW w:w="1008"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Pr>
                <w:rFonts w:ascii="Arial" w:hAnsi="Arial" w:cs="Arial"/>
                <w:noProof/>
                <w:sz w:val="21"/>
                <w:szCs w:val="21"/>
              </w:rPr>
              <w:drawing>
                <wp:inline distT="0" distB="0" distL="0" distR="0" wp14:anchorId="757412DD" wp14:editId="01049B4E">
                  <wp:extent cx="604520" cy="6045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sidRPr="0098497F">
              <w:rPr>
                <w:rFonts w:ascii="Arial" w:hAnsi="Arial" w:cs="Arial"/>
                <w:sz w:val="21"/>
                <w:szCs w:val="21"/>
              </w:rPr>
              <w:t>High</w:t>
            </w:r>
          </w:p>
        </w:tc>
      </w:tr>
      <w:tr w:rsidR="007C09E9" w:rsidRPr="0098497F" w:rsidTr="00E437FD">
        <w:trPr>
          <w:trHeight w:val="750"/>
        </w:trPr>
        <w:tc>
          <w:tcPr>
            <w:tcW w:w="1008" w:type="dxa"/>
            <w:tcMar>
              <w:top w:w="29" w:type="dxa"/>
              <w:left w:w="29" w:type="dxa"/>
              <w:bottom w:w="29" w:type="dxa"/>
              <w:right w:w="29" w:type="dxa"/>
            </w:tcMar>
            <w:vAlign w:val="center"/>
            <w:hideMark/>
          </w:tcPr>
          <w:p w:rsidR="007C09E9" w:rsidRPr="0098497F" w:rsidRDefault="007C09E9" w:rsidP="00E437FD">
            <w:pPr>
              <w:jc w:val="center"/>
              <w:rPr>
                <w:rFonts w:ascii="Arial" w:hAnsi="Arial" w:cs="Arial"/>
              </w:rPr>
            </w:pPr>
            <w:r>
              <w:rPr>
                <w:rFonts w:ascii="Arial" w:hAnsi="Arial" w:cs="Arial"/>
                <w:noProof/>
              </w:rPr>
              <w:drawing>
                <wp:inline distT="0" distB="0" distL="0" distR="0" wp14:anchorId="28C6ABEC" wp14:editId="68BE3322">
                  <wp:extent cx="604520" cy="6045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7C09E9" w:rsidRPr="0098497F" w:rsidRDefault="00584B32" w:rsidP="00E437FD">
            <w:pPr>
              <w:jc w:val="center"/>
              <w:rPr>
                <w:rFonts w:ascii="Arial" w:hAnsi="Arial" w:cs="Arial"/>
                <w:sz w:val="21"/>
                <w:szCs w:val="21"/>
              </w:rPr>
            </w:pPr>
            <w:r>
              <w:rPr>
                <w:rFonts w:ascii="Arial" w:hAnsi="Arial" w:cs="Arial"/>
                <w:sz w:val="21"/>
                <w:szCs w:val="21"/>
              </w:rPr>
              <w:t>Condition</w:t>
            </w:r>
            <w:r w:rsidR="007C09E9">
              <w:rPr>
                <w:rFonts w:ascii="Arial" w:hAnsi="Arial" w:cs="Arial"/>
                <w:sz w:val="21"/>
                <w:szCs w:val="21"/>
              </w:rPr>
              <w:t xml:space="preserve"> </w:t>
            </w:r>
            <w:r w:rsidR="007C09E9" w:rsidRPr="0098497F">
              <w:rPr>
                <w:rFonts w:ascii="Arial" w:hAnsi="Arial" w:cs="Arial"/>
                <w:sz w:val="21"/>
                <w:szCs w:val="21"/>
              </w:rPr>
              <w:t>Warrants Moderate Concern</w:t>
            </w:r>
          </w:p>
        </w:tc>
        <w:tc>
          <w:tcPr>
            <w:tcW w:w="1008" w:type="dxa"/>
            <w:tcMar>
              <w:top w:w="29" w:type="dxa"/>
              <w:left w:w="29" w:type="dxa"/>
              <w:bottom w:w="29" w:type="dxa"/>
              <w:right w:w="29" w:type="dxa"/>
            </w:tcMar>
            <w:vAlign w:val="center"/>
            <w:hideMark/>
          </w:tcPr>
          <w:p w:rsidR="007C09E9" w:rsidRPr="0098497F" w:rsidRDefault="007C09E9" w:rsidP="00E437FD">
            <w:pPr>
              <w:jc w:val="center"/>
              <w:rPr>
                <w:rFonts w:ascii="Arial" w:hAnsi="Arial" w:cs="Arial"/>
                <w:sz w:val="21"/>
                <w:szCs w:val="21"/>
              </w:rPr>
            </w:pPr>
            <w:r>
              <w:rPr>
                <w:rFonts w:ascii="Arial" w:hAnsi="Arial" w:cs="Arial"/>
                <w:noProof/>
                <w:sz w:val="21"/>
                <w:szCs w:val="21"/>
              </w:rPr>
              <w:drawing>
                <wp:inline distT="0" distB="0" distL="0" distR="0" wp14:anchorId="63BC7FBF" wp14:editId="517DA331">
                  <wp:extent cx="457200" cy="342647"/>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342647"/>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7C09E9" w:rsidRPr="0098497F" w:rsidRDefault="007C09E9" w:rsidP="00E437FD">
            <w:pPr>
              <w:jc w:val="center"/>
              <w:rPr>
                <w:rFonts w:ascii="Arial" w:hAnsi="Arial" w:cs="Arial"/>
                <w:sz w:val="21"/>
                <w:szCs w:val="21"/>
              </w:rPr>
            </w:pPr>
            <w:r w:rsidRPr="0098497F">
              <w:rPr>
                <w:rFonts w:ascii="Arial" w:hAnsi="Arial" w:cs="Arial"/>
                <w:sz w:val="21"/>
                <w:szCs w:val="21"/>
              </w:rPr>
              <w:t>Condition is Unchanging</w:t>
            </w:r>
          </w:p>
        </w:tc>
        <w:tc>
          <w:tcPr>
            <w:tcW w:w="1008" w:type="dxa"/>
            <w:tcMar>
              <w:top w:w="29" w:type="dxa"/>
              <w:left w:w="29" w:type="dxa"/>
              <w:bottom w:w="29" w:type="dxa"/>
              <w:right w:w="29" w:type="dxa"/>
            </w:tcMar>
            <w:vAlign w:val="center"/>
            <w:hideMark/>
          </w:tcPr>
          <w:p w:rsidR="007C09E9" w:rsidRPr="0098497F" w:rsidRDefault="007C09E9" w:rsidP="00E437FD">
            <w:pPr>
              <w:jc w:val="center"/>
              <w:rPr>
                <w:rFonts w:ascii="Arial" w:hAnsi="Arial" w:cs="Arial"/>
                <w:sz w:val="21"/>
                <w:szCs w:val="21"/>
              </w:rPr>
            </w:pPr>
            <w:r>
              <w:rPr>
                <w:rFonts w:ascii="Arial" w:hAnsi="Arial" w:cs="Arial"/>
                <w:noProof/>
                <w:sz w:val="21"/>
                <w:szCs w:val="21"/>
              </w:rPr>
              <w:drawing>
                <wp:inline distT="0" distB="0" distL="0" distR="0" wp14:anchorId="5BEA82B7" wp14:editId="4EA5803E">
                  <wp:extent cx="604520" cy="604520"/>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7C09E9" w:rsidRPr="0098497F" w:rsidRDefault="007C09E9" w:rsidP="00E437FD">
            <w:pPr>
              <w:jc w:val="center"/>
              <w:rPr>
                <w:rFonts w:ascii="Arial" w:hAnsi="Arial" w:cs="Arial"/>
                <w:sz w:val="21"/>
                <w:szCs w:val="21"/>
              </w:rPr>
            </w:pPr>
            <w:r w:rsidRPr="0098497F">
              <w:rPr>
                <w:rFonts w:ascii="Arial" w:hAnsi="Arial" w:cs="Arial"/>
                <w:sz w:val="21"/>
                <w:szCs w:val="21"/>
              </w:rPr>
              <w:t>Medium</w:t>
            </w:r>
          </w:p>
        </w:tc>
      </w:tr>
      <w:tr w:rsidR="00192E96" w:rsidRPr="0098497F" w:rsidTr="00E437FD">
        <w:trPr>
          <w:trHeight w:val="750"/>
        </w:trPr>
        <w:tc>
          <w:tcPr>
            <w:tcW w:w="1008" w:type="dxa"/>
            <w:tcMar>
              <w:top w:w="29" w:type="dxa"/>
              <w:left w:w="29" w:type="dxa"/>
              <w:bottom w:w="29" w:type="dxa"/>
              <w:right w:w="29" w:type="dxa"/>
            </w:tcMar>
            <w:vAlign w:val="center"/>
            <w:hideMark/>
          </w:tcPr>
          <w:p w:rsidR="00192E96" w:rsidRPr="0098497F" w:rsidRDefault="00192E96" w:rsidP="00F20A0B">
            <w:pPr>
              <w:jc w:val="center"/>
              <w:rPr>
                <w:rFonts w:ascii="Arial" w:hAnsi="Arial" w:cs="Arial"/>
              </w:rPr>
            </w:pPr>
            <w:r>
              <w:rPr>
                <w:rFonts w:ascii="Arial" w:hAnsi="Arial" w:cs="Arial"/>
                <w:noProof/>
              </w:rPr>
              <w:drawing>
                <wp:inline distT="0" distB="0" distL="0" distR="0" wp14:anchorId="3E35BB97" wp14:editId="2E6A6D5E">
                  <wp:extent cx="604520" cy="60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192E96" w:rsidRPr="0098497F" w:rsidRDefault="00584B32" w:rsidP="00F20A0B">
            <w:pPr>
              <w:jc w:val="center"/>
              <w:rPr>
                <w:rFonts w:ascii="Arial" w:hAnsi="Arial" w:cs="Arial"/>
                <w:sz w:val="21"/>
                <w:szCs w:val="21"/>
              </w:rPr>
            </w:pPr>
            <w:r>
              <w:rPr>
                <w:rFonts w:ascii="Arial" w:hAnsi="Arial" w:cs="Arial"/>
                <w:sz w:val="21"/>
                <w:szCs w:val="21"/>
              </w:rPr>
              <w:t>Condition</w:t>
            </w:r>
            <w:r w:rsidR="00192E96">
              <w:rPr>
                <w:rFonts w:ascii="Arial" w:hAnsi="Arial" w:cs="Arial"/>
                <w:sz w:val="21"/>
                <w:szCs w:val="21"/>
              </w:rPr>
              <w:t xml:space="preserve"> </w:t>
            </w:r>
            <w:r w:rsidR="00192E96" w:rsidRPr="0098497F">
              <w:rPr>
                <w:rFonts w:ascii="Arial" w:hAnsi="Arial" w:cs="Arial"/>
                <w:sz w:val="21"/>
                <w:szCs w:val="21"/>
              </w:rPr>
              <w:t>Warrants Significant Concern</w:t>
            </w:r>
          </w:p>
        </w:tc>
        <w:tc>
          <w:tcPr>
            <w:tcW w:w="1008"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Pr>
                <w:rFonts w:ascii="Arial" w:hAnsi="Arial" w:cs="Arial"/>
                <w:noProof/>
                <w:sz w:val="21"/>
                <w:szCs w:val="21"/>
              </w:rPr>
              <w:drawing>
                <wp:inline distT="0" distB="0" distL="0" distR="0" wp14:anchorId="43F27D00" wp14:editId="48B23846">
                  <wp:extent cx="342647" cy="457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647" cy="45720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sidRPr="0098497F">
              <w:rPr>
                <w:rFonts w:ascii="Arial" w:hAnsi="Arial" w:cs="Arial"/>
                <w:sz w:val="21"/>
                <w:szCs w:val="21"/>
              </w:rPr>
              <w:t>Condition is Deteriorating</w:t>
            </w:r>
          </w:p>
        </w:tc>
        <w:tc>
          <w:tcPr>
            <w:tcW w:w="1008"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Pr>
                <w:rFonts w:ascii="Arial" w:hAnsi="Arial" w:cs="Arial"/>
                <w:noProof/>
                <w:sz w:val="21"/>
                <w:szCs w:val="21"/>
              </w:rPr>
              <w:drawing>
                <wp:inline distT="0" distB="0" distL="0" distR="0" wp14:anchorId="7825B602" wp14:editId="59C47019">
                  <wp:extent cx="604520" cy="6045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192E96" w:rsidRPr="0098497F" w:rsidRDefault="00192E96" w:rsidP="00E437FD">
            <w:pPr>
              <w:jc w:val="center"/>
              <w:rPr>
                <w:rFonts w:ascii="Arial" w:hAnsi="Arial" w:cs="Arial"/>
                <w:sz w:val="21"/>
                <w:szCs w:val="21"/>
              </w:rPr>
            </w:pPr>
            <w:r w:rsidRPr="0098497F">
              <w:rPr>
                <w:rFonts w:ascii="Arial" w:hAnsi="Arial" w:cs="Arial"/>
                <w:sz w:val="21"/>
                <w:szCs w:val="21"/>
              </w:rPr>
              <w:t>Low</w:t>
            </w:r>
          </w:p>
        </w:tc>
      </w:tr>
      <w:tr w:rsidR="0095667A" w:rsidRPr="0098497F" w:rsidTr="00067D6E">
        <w:trPr>
          <w:trHeight w:val="864"/>
        </w:trPr>
        <w:tc>
          <w:tcPr>
            <w:tcW w:w="1008" w:type="dxa"/>
            <w:tcMar>
              <w:top w:w="29" w:type="dxa"/>
              <w:left w:w="29" w:type="dxa"/>
              <w:bottom w:w="29" w:type="dxa"/>
              <w:right w:w="29" w:type="dxa"/>
            </w:tcMar>
            <w:vAlign w:val="center"/>
          </w:tcPr>
          <w:p w:rsidR="0095667A" w:rsidRDefault="002D7244" w:rsidP="00F20A0B">
            <w:pPr>
              <w:jc w:val="center"/>
              <w:rPr>
                <w:rFonts w:ascii="Arial" w:hAnsi="Arial" w:cs="Arial"/>
                <w:noProof/>
              </w:rPr>
            </w:pPr>
            <w:r>
              <w:rPr>
                <w:rFonts w:ascii="Arial" w:hAnsi="Arial" w:cs="Arial"/>
                <w:noProof/>
              </w:rPr>
              <w:drawing>
                <wp:inline distT="0" distB="0" distL="0" distR="0">
                  <wp:extent cx="604520" cy="604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tcPr>
          <w:p w:rsidR="0095667A" w:rsidRDefault="0095667A" w:rsidP="00F20A0B">
            <w:pPr>
              <w:jc w:val="center"/>
              <w:rPr>
                <w:rFonts w:ascii="Arial" w:hAnsi="Arial" w:cs="Arial"/>
                <w:sz w:val="21"/>
                <w:szCs w:val="21"/>
              </w:rPr>
            </w:pPr>
            <w:r>
              <w:rPr>
                <w:rFonts w:ascii="Arial" w:hAnsi="Arial" w:cs="Arial"/>
                <w:sz w:val="21"/>
                <w:szCs w:val="21"/>
              </w:rPr>
              <w:t>Unknown</w:t>
            </w:r>
          </w:p>
        </w:tc>
        <w:tc>
          <w:tcPr>
            <w:tcW w:w="1008" w:type="dxa"/>
            <w:tcMar>
              <w:top w:w="29" w:type="dxa"/>
              <w:left w:w="29" w:type="dxa"/>
              <w:bottom w:w="29" w:type="dxa"/>
              <w:right w:w="29" w:type="dxa"/>
            </w:tcMar>
            <w:vAlign w:val="center"/>
          </w:tcPr>
          <w:p w:rsidR="0095667A" w:rsidRDefault="0095667A" w:rsidP="00E437FD">
            <w:pPr>
              <w:jc w:val="center"/>
              <w:rPr>
                <w:rFonts w:ascii="Arial" w:hAnsi="Arial" w:cs="Arial"/>
                <w:noProof/>
                <w:sz w:val="21"/>
                <w:szCs w:val="21"/>
              </w:rPr>
            </w:pPr>
            <w:r>
              <w:rPr>
                <w:rFonts w:ascii="Arial" w:hAnsi="Arial" w:cs="Arial"/>
                <w:noProof/>
                <w:sz w:val="21"/>
                <w:szCs w:val="21"/>
              </w:rPr>
              <w:drawing>
                <wp:inline distT="0" distB="0" distL="0" distR="0" wp14:anchorId="7B9F86E2" wp14:editId="32069765">
                  <wp:extent cx="365760" cy="421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42139"/>
                          </a:xfrm>
                          <a:prstGeom prst="rect">
                            <a:avLst/>
                          </a:prstGeom>
                          <a:noFill/>
                          <a:ln>
                            <a:noFill/>
                          </a:ln>
                        </pic:spPr>
                      </pic:pic>
                    </a:graphicData>
                  </a:graphic>
                </wp:inline>
              </w:drawing>
            </w:r>
          </w:p>
        </w:tc>
        <w:tc>
          <w:tcPr>
            <w:tcW w:w="2232" w:type="dxa"/>
            <w:tcMar>
              <w:top w:w="29" w:type="dxa"/>
              <w:left w:w="29" w:type="dxa"/>
              <w:bottom w:w="29" w:type="dxa"/>
              <w:right w:w="29" w:type="dxa"/>
            </w:tcMar>
            <w:vAlign w:val="center"/>
          </w:tcPr>
          <w:p w:rsidR="0095667A" w:rsidRPr="0098497F" w:rsidRDefault="0095667A" w:rsidP="00E437FD">
            <w:pPr>
              <w:jc w:val="center"/>
              <w:rPr>
                <w:rFonts w:ascii="Arial" w:hAnsi="Arial" w:cs="Arial"/>
                <w:sz w:val="21"/>
                <w:szCs w:val="21"/>
              </w:rPr>
            </w:pPr>
            <w:r>
              <w:rPr>
                <w:rFonts w:ascii="Arial" w:hAnsi="Arial" w:cs="Arial"/>
                <w:sz w:val="21"/>
                <w:szCs w:val="21"/>
              </w:rPr>
              <w:t>Unknown</w:t>
            </w:r>
          </w:p>
        </w:tc>
        <w:tc>
          <w:tcPr>
            <w:tcW w:w="3240" w:type="dxa"/>
            <w:gridSpan w:val="2"/>
            <w:tcMar>
              <w:top w:w="29" w:type="dxa"/>
              <w:left w:w="29" w:type="dxa"/>
              <w:bottom w:w="29" w:type="dxa"/>
              <w:right w:w="29" w:type="dxa"/>
            </w:tcMar>
            <w:vAlign w:val="center"/>
          </w:tcPr>
          <w:p w:rsidR="0095667A" w:rsidRPr="0098497F" w:rsidRDefault="0095667A" w:rsidP="00E437FD">
            <w:pPr>
              <w:jc w:val="center"/>
              <w:rPr>
                <w:rFonts w:ascii="Arial" w:hAnsi="Arial" w:cs="Arial"/>
                <w:sz w:val="21"/>
                <w:szCs w:val="21"/>
              </w:rPr>
            </w:pPr>
            <w:r>
              <w:rPr>
                <w:rFonts w:ascii="Arial" w:hAnsi="Arial" w:cs="Arial"/>
                <w:sz w:val="21"/>
                <w:szCs w:val="21"/>
              </w:rPr>
              <w:t>(n/a)</w:t>
            </w:r>
          </w:p>
        </w:tc>
      </w:tr>
    </w:tbl>
    <w:p w:rsidR="007C09E9" w:rsidRDefault="007C09E9" w:rsidP="007C09E9"/>
    <w:p w:rsidR="00906C70" w:rsidRPr="00607996" w:rsidRDefault="00607996" w:rsidP="007C09E9">
      <w:pPr>
        <w:rPr>
          <w:b/>
          <w:u w:val="single"/>
        </w:rPr>
      </w:pPr>
      <w:r w:rsidRPr="00607996">
        <w:rPr>
          <w:b/>
          <w:u w:val="single"/>
        </w:rPr>
        <w:t xml:space="preserve">One versus Multiple </w:t>
      </w:r>
      <w:r w:rsidR="000B5AB1">
        <w:rPr>
          <w:b/>
          <w:u w:val="single"/>
        </w:rPr>
        <w:t xml:space="preserve">Symbol </w:t>
      </w:r>
      <w:r w:rsidRPr="00607996">
        <w:rPr>
          <w:b/>
          <w:u w:val="single"/>
        </w:rPr>
        <w:t>Sets</w:t>
      </w:r>
      <w:r w:rsidR="000B5AB1">
        <w:rPr>
          <w:b/>
          <w:u w:val="single"/>
        </w:rPr>
        <w:t>?</w:t>
      </w:r>
    </w:p>
    <w:p w:rsidR="00AD027E" w:rsidRDefault="00B33072" w:rsidP="00F67DAE">
      <w:r>
        <w:t>The following lists summarize the pros and cons for using the NRCA symbol set not only for the KA status/trend scorecards but also for the KA driver/c</w:t>
      </w:r>
      <w:r w:rsidR="00F67DAE">
        <w:t>onstraint and management/impact:</w:t>
      </w:r>
    </w:p>
    <w:p w:rsidR="00F67DAE" w:rsidRPr="00F67DAE" w:rsidRDefault="00F67DAE" w:rsidP="00401DAE">
      <w:pPr>
        <w:spacing w:after="0"/>
        <w:rPr>
          <w:b/>
          <w:i/>
        </w:rPr>
      </w:pPr>
      <w:r w:rsidRPr="00F67DAE">
        <w:rPr>
          <w:b/>
          <w:i/>
        </w:rPr>
        <w:t>Pros</w:t>
      </w:r>
    </w:p>
    <w:p w:rsidR="00F67DAE" w:rsidRDefault="00F67DAE" w:rsidP="00F67DAE">
      <w:pPr>
        <w:pStyle w:val="ListParagraph"/>
        <w:numPr>
          <w:ilvl w:val="0"/>
          <w:numId w:val="3"/>
        </w:numPr>
        <w:spacing w:after="0"/>
      </w:pPr>
      <w:r>
        <w:t xml:space="preserve">Having one symbol set for all three scorecards </w:t>
      </w:r>
      <w:r w:rsidR="00260E91">
        <w:t xml:space="preserve">keeps things simple and </w:t>
      </w:r>
      <w:r>
        <w:t xml:space="preserve">eliminates </w:t>
      </w:r>
      <w:r w:rsidR="009A0840">
        <w:t xml:space="preserve">the possibility of </w:t>
      </w:r>
      <w:r>
        <w:t xml:space="preserve">confusion </w:t>
      </w:r>
      <w:r w:rsidR="009A0840">
        <w:t xml:space="preserve">if </w:t>
      </w:r>
      <w:r>
        <w:t xml:space="preserve">viewers </w:t>
      </w:r>
      <w:r w:rsidR="00401DAE">
        <w:t xml:space="preserve">have </w:t>
      </w:r>
      <w:r>
        <w:t xml:space="preserve">to </w:t>
      </w:r>
      <w:r w:rsidR="008B0F13">
        <w:t>grapple with</w:t>
      </w:r>
      <w:r>
        <w:t xml:space="preserve"> </w:t>
      </w:r>
      <w:r w:rsidR="00401DAE">
        <w:t xml:space="preserve">multiple </w:t>
      </w:r>
      <w:r>
        <w:t>symbol sets.</w:t>
      </w:r>
    </w:p>
    <w:p w:rsidR="0070243A" w:rsidRDefault="0070243A" w:rsidP="00F67DAE">
      <w:pPr>
        <w:pStyle w:val="ListParagraph"/>
        <w:numPr>
          <w:ilvl w:val="0"/>
          <w:numId w:val="3"/>
        </w:numPr>
        <w:spacing w:after="0"/>
      </w:pPr>
      <w:r>
        <w:t>Having one symbol set for all three scorecards makes it easier to generate symbol output based on the KA spreadsheet values.</w:t>
      </w:r>
    </w:p>
    <w:p w:rsidR="00F67DAE" w:rsidRDefault="00F67DAE" w:rsidP="00F67DAE">
      <w:pPr>
        <w:spacing w:after="0"/>
        <w:ind w:left="360"/>
      </w:pPr>
    </w:p>
    <w:p w:rsidR="00F67DAE" w:rsidRPr="00093664" w:rsidRDefault="00093664" w:rsidP="00401DAE">
      <w:pPr>
        <w:spacing w:after="0"/>
        <w:rPr>
          <w:b/>
          <w:i/>
        </w:rPr>
      </w:pPr>
      <w:r w:rsidRPr="00093664">
        <w:rPr>
          <w:b/>
          <w:i/>
        </w:rPr>
        <w:t>Cons</w:t>
      </w:r>
    </w:p>
    <w:p w:rsidR="00AC4EBE" w:rsidRDefault="00E8462B" w:rsidP="00093664">
      <w:pPr>
        <w:pStyle w:val="ListParagraph"/>
        <w:numPr>
          <w:ilvl w:val="0"/>
          <w:numId w:val="3"/>
        </w:numPr>
        <w:spacing w:after="0"/>
      </w:pPr>
      <w:r>
        <w:t xml:space="preserve">The status/trend scorecards must convey </w:t>
      </w:r>
      <w:r w:rsidR="00AC4EBE">
        <w:t>information on status</w:t>
      </w:r>
      <w:r>
        <w:t xml:space="preserve"> and</w:t>
      </w:r>
      <w:r w:rsidR="00AC4EBE">
        <w:t xml:space="preserve"> trend</w:t>
      </w:r>
      <w:r>
        <w:t xml:space="preserve"> in resource condition</w:t>
      </w:r>
      <w:r w:rsidR="00AC4EBE">
        <w:t>, and confidence</w:t>
      </w:r>
      <w:r>
        <w:t xml:space="preserve"> in these estimates. In contrast</w:t>
      </w:r>
      <w:r w:rsidR="00AC4EBE">
        <w:t xml:space="preserve">, </w:t>
      </w:r>
      <w:r>
        <w:t>the driver/constraint and management/impact scorecards must convey information on the strengths of causal relationships, the direction</w:t>
      </w:r>
      <w:r w:rsidR="008B0F13">
        <w:t>s</w:t>
      </w:r>
      <w:r>
        <w:t xml:space="preserve"> of these effects, and confidence in this knowledge.</w:t>
      </w:r>
      <w:r w:rsidR="005E2EF2">
        <w:t xml:space="preserve"> If the present KA </w:t>
      </w:r>
      <w:r w:rsidR="00401DAE">
        <w:t>repurposes</w:t>
      </w:r>
      <w:r w:rsidR="005E2EF2">
        <w:t xml:space="preserve"> the symbol set </w:t>
      </w:r>
      <w:r w:rsidR="00401DAE">
        <w:t>from</w:t>
      </w:r>
      <w:r w:rsidR="005E2EF2">
        <w:t xml:space="preserve"> the status/trend scorecards, and uses the same methods for symbolizing direction and confidence as in the status/trend scorecards, the KA </w:t>
      </w:r>
      <w:r w:rsidR="008B0F13">
        <w:t>is forced to</w:t>
      </w:r>
      <w:r w:rsidR="00401DAE">
        <w:t xml:space="preserve"> </w:t>
      </w:r>
      <w:r w:rsidR="005E2EF2">
        <w:t>use the green-yellow-red scale to symbolize the strength of causation.</w:t>
      </w:r>
      <w:r w:rsidR="007618E4">
        <w:t xml:space="preserve"> Depending on how the TWG chooses to set things up, green would </w:t>
      </w:r>
      <w:r w:rsidR="00205275">
        <w:t xml:space="preserve">then </w:t>
      </w:r>
      <w:r w:rsidR="007618E4">
        <w:t xml:space="preserve">have to be used </w:t>
      </w:r>
      <w:r w:rsidR="007618E4">
        <w:lastRenderedPageBreak/>
        <w:t>to symbolize either strong or weak causation, and red conversely used to symbolize either weak or strong causation. This would depart strongly from the meanings for green and red in the status/trend scorecards, leading to significant confusion.</w:t>
      </w:r>
    </w:p>
    <w:p w:rsidR="00F67DAE" w:rsidRDefault="00093664" w:rsidP="00093664">
      <w:pPr>
        <w:pStyle w:val="ListParagraph"/>
        <w:numPr>
          <w:ilvl w:val="0"/>
          <w:numId w:val="3"/>
        </w:numPr>
        <w:spacing w:after="0"/>
      </w:pPr>
      <w:r>
        <w:t>The driver/constraint and management/impact scorecards have different information hierarchies</w:t>
      </w:r>
      <w:r w:rsidR="007F46F9">
        <w:t>, compared to the status/trend scorecard</w:t>
      </w:r>
      <w:r w:rsidR="00FC7B53">
        <w:t xml:space="preserve">. </w:t>
      </w:r>
      <w:r w:rsidR="007F46F9">
        <w:t xml:space="preserve">For the driver/constraint and management/impact scorecards, questions of causal strength, direction of effect, and confidence in this knowledge have equal importance: The GCDAMP </w:t>
      </w:r>
      <w:r w:rsidR="00F4679F">
        <w:t>very much need</w:t>
      </w:r>
      <w:r w:rsidR="007F46F9">
        <w:t>s</w:t>
      </w:r>
      <w:r w:rsidR="00F4679F">
        <w:t xml:space="preserve"> to know </w:t>
      </w:r>
      <w:r w:rsidR="003F5DE8">
        <w:t xml:space="preserve">equally </w:t>
      </w:r>
      <w:r w:rsidR="00F4679F">
        <w:t xml:space="preserve">about causal strength </w:t>
      </w:r>
      <w:r w:rsidR="00F4679F" w:rsidRPr="00F4679F">
        <w:rPr>
          <w:i/>
        </w:rPr>
        <w:t>and</w:t>
      </w:r>
      <w:r w:rsidR="00F4679F">
        <w:t xml:space="preserve"> direction</w:t>
      </w:r>
      <w:r w:rsidR="007F46F9">
        <w:t xml:space="preserve"> of effect</w:t>
      </w:r>
      <w:r w:rsidR="003F5DE8">
        <w:t xml:space="preserve"> </w:t>
      </w:r>
      <w:r w:rsidR="003F5DE8" w:rsidRPr="003F5DE8">
        <w:rPr>
          <w:i/>
        </w:rPr>
        <w:t>and</w:t>
      </w:r>
      <w:r w:rsidR="003F5DE8">
        <w:t xml:space="preserve"> confidence</w:t>
      </w:r>
      <w:r w:rsidR="00F4679F">
        <w:t>. For example, does driver X have a strong or weak effect on resource A, is the effect harmful or beneficial to achieving a desired resource condition, and how confident are we in this knowledge?</w:t>
      </w:r>
      <w:r w:rsidR="007F46F9">
        <w:t xml:space="preserve"> </w:t>
      </w:r>
      <w:r w:rsidR="00AC4EBE">
        <w:t xml:space="preserve">This information provides crucial guidance on needs for monitoring and research to address </w:t>
      </w:r>
      <w:r w:rsidR="003F5DE8">
        <w:t xml:space="preserve">knowledge </w:t>
      </w:r>
      <w:r w:rsidR="00AC4EBE">
        <w:t>gaps and weaknesses.</w:t>
      </w:r>
      <w:r w:rsidR="0070243A">
        <w:t xml:space="preserve"> The status/trend scorecard</w:t>
      </w:r>
      <w:r w:rsidR="0039290D">
        <w:t>s</w:t>
      </w:r>
      <w:r w:rsidR="0070243A">
        <w:t xml:space="preserve"> do not convey this kind of equality of importance among the symbolized variables.</w:t>
      </w:r>
    </w:p>
    <w:p w:rsidR="0070243A" w:rsidRDefault="0070243A" w:rsidP="0070243A">
      <w:pPr>
        <w:pStyle w:val="ListParagraph"/>
        <w:numPr>
          <w:ilvl w:val="0"/>
          <w:numId w:val="3"/>
        </w:numPr>
        <w:spacing w:after="0"/>
      </w:pPr>
      <w:r>
        <w:t xml:space="preserve">The generation of symbol outputs for the scorecards </w:t>
      </w:r>
      <w:r w:rsidR="005312F9">
        <w:t>based on the KA spreadsheet values will be done automatically. As a result it is no more or less easy to</w:t>
      </w:r>
      <w:r w:rsidR="008B0F13">
        <w:t xml:space="preserve"> use</w:t>
      </w:r>
      <w:r w:rsidR="005312F9">
        <w:t xml:space="preserve"> </w:t>
      </w:r>
      <w:r>
        <w:t xml:space="preserve">one </w:t>
      </w:r>
      <w:r w:rsidR="005312F9">
        <w:t xml:space="preserve">or many </w:t>
      </w:r>
      <w:r w:rsidR="008B0F13">
        <w:t xml:space="preserve">symbol sets </w:t>
      </w:r>
      <w:r>
        <w:t xml:space="preserve">for </w:t>
      </w:r>
      <w:r w:rsidR="005312F9">
        <w:t xml:space="preserve">the </w:t>
      </w:r>
      <w:r>
        <w:t>three scorecards.</w:t>
      </w:r>
    </w:p>
    <w:p w:rsidR="00F67DAE" w:rsidRDefault="00F67DAE" w:rsidP="00F67DAE">
      <w:pPr>
        <w:spacing w:after="0"/>
        <w:ind w:left="360"/>
      </w:pPr>
    </w:p>
    <w:p w:rsidR="00F67DAE" w:rsidRPr="005312F9" w:rsidRDefault="005312F9" w:rsidP="00F67DAE">
      <w:pPr>
        <w:rPr>
          <w:b/>
          <w:u w:val="single"/>
        </w:rPr>
      </w:pPr>
      <w:r>
        <w:rPr>
          <w:b/>
          <w:u w:val="single"/>
        </w:rPr>
        <w:t>Alternative Symbol Sets for Driver/Constraint and Management/Impact Scorecards</w:t>
      </w:r>
    </w:p>
    <w:p w:rsidR="00F67DAE" w:rsidRDefault="00E42A07" w:rsidP="00F67DAE">
      <w:r>
        <w:t>If the SCAHG decides to consider alternative symbol sets for the driver/constraint and management/impact scorecards, it has a range of options:</w:t>
      </w:r>
    </w:p>
    <w:p w:rsidR="00E42A07" w:rsidRDefault="00E42A07" w:rsidP="00E42A07">
      <w:pPr>
        <w:pStyle w:val="ListParagraph"/>
        <w:numPr>
          <w:ilvl w:val="0"/>
          <w:numId w:val="5"/>
        </w:numPr>
      </w:pPr>
      <w:r>
        <w:t xml:space="preserve">The </w:t>
      </w:r>
      <w:r w:rsidR="000D44F2">
        <w:t xml:space="preserve">driver/constraint and management/impact scorecards could use </w:t>
      </w:r>
      <w:r w:rsidR="00DF5675">
        <w:t>one</w:t>
      </w:r>
      <w:r w:rsidR="000D44F2">
        <w:t xml:space="preserve"> same symbol set</w:t>
      </w:r>
      <w:r w:rsidR="00DF5675">
        <w:t xml:space="preserve"> in common</w:t>
      </w:r>
      <w:r w:rsidR="000D44F2">
        <w:t>, or each could have its own symbol set. We recommend having one shared symbol set for both the driver/constraint and management/impact scorecards, because they assess the same three variables: causal strength, direction of effect, and confidence.</w:t>
      </w:r>
    </w:p>
    <w:p w:rsidR="000D44F2" w:rsidRDefault="0029694A" w:rsidP="00C55B1E">
      <w:pPr>
        <w:pStyle w:val="ListParagraph"/>
        <w:numPr>
          <w:ilvl w:val="0"/>
          <w:numId w:val="5"/>
        </w:numPr>
      </w:pPr>
      <w:r w:rsidRPr="00C55B1E">
        <w:rPr>
          <w:noProof/>
        </w:rPr>
        <w:drawing>
          <wp:anchor distT="0" distB="0" distL="114300" distR="114300" simplePos="0" relativeHeight="251659264" behindDoc="0" locked="0" layoutInCell="1" allowOverlap="1" wp14:anchorId="65EB816B" wp14:editId="16D0C6C2">
            <wp:simplePos x="0" y="0"/>
            <wp:positionH relativeFrom="column">
              <wp:posOffset>3831590</wp:posOffset>
            </wp:positionH>
            <wp:positionV relativeFrom="paragraph">
              <wp:posOffset>754380</wp:posOffset>
            </wp:positionV>
            <wp:extent cx="2026717" cy="640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6717"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BCA">
        <w:t>Changing the shape of the scorecard symbols would immediately distinguish the status/trend scorecards (</w:t>
      </w:r>
      <w:r w:rsidR="00DF5675">
        <w:t xml:space="preserve">with their </w:t>
      </w:r>
      <w:r w:rsidR="005D6BCA">
        <w:t xml:space="preserve">circular symbols) from the driver/constraint and management/impact scorecards. </w:t>
      </w:r>
      <w:r w:rsidR="00C55B1E">
        <w:t>Hexagons, squares, and diamonds all clearly differ from circles. However, diamonds provide limited internal space for shapes to indicate the direction of effect, and we do not recommend them. In contrast, any viewer seeing a hexagon or a square would know they were looking at a different kind of scorecard – not a status/trend scorecard.</w:t>
      </w:r>
    </w:p>
    <w:p w:rsidR="00C55B1E" w:rsidRDefault="009F3B66" w:rsidP="00C55B1E">
      <w:pPr>
        <w:pStyle w:val="ListParagraph"/>
        <w:numPr>
          <w:ilvl w:val="0"/>
          <w:numId w:val="5"/>
        </w:numPr>
      </w:pPr>
      <w:r>
        <w:t>Changing the color of the primary (most visually distinctive) variable would also immediately tell a viewer that they were looking at a driver/constraint or management/impact scorecard, not a status/trend scorecard. As noted above, the green-yellow-red color scale conventionally conveys a message of warning: yellow and especially red tell the viewer that there is something to be concerned about.</w:t>
      </w:r>
      <w:r w:rsidR="00FC0A71">
        <w:t xml:space="preserve"> The driver/constraint and management/impact ratings do not need to convey any such warning. We therefore recommend avoiding the green-yellow-red color scale</w:t>
      </w:r>
      <w:r w:rsidR="005F1708">
        <w:t>.</w:t>
      </w:r>
    </w:p>
    <w:p w:rsidR="005F1708" w:rsidRDefault="00CC2445" w:rsidP="00635DE8">
      <w:pPr>
        <w:pStyle w:val="ListParagraph"/>
        <w:numPr>
          <w:ilvl w:val="1"/>
          <w:numId w:val="5"/>
        </w:numPr>
        <w:tabs>
          <w:tab w:val="left" w:pos="1080"/>
        </w:tabs>
        <w:ind w:left="1080"/>
      </w:pPr>
      <w:r w:rsidRPr="009218B8">
        <w:rPr>
          <w:noProof/>
        </w:rPr>
        <w:drawing>
          <wp:anchor distT="0" distB="0" distL="114300" distR="114300" simplePos="0" relativeHeight="251660288" behindDoc="0" locked="0" layoutInCell="1" allowOverlap="1" wp14:anchorId="2D897CFC" wp14:editId="0E8C9097">
            <wp:simplePos x="0" y="0"/>
            <wp:positionH relativeFrom="column">
              <wp:posOffset>2765425</wp:posOffset>
            </wp:positionH>
            <wp:positionV relativeFrom="paragraph">
              <wp:posOffset>39370</wp:posOffset>
            </wp:positionV>
            <wp:extent cx="1216660" cy="651510"/>
            <wp:effectExtent l="0" t="0" r="254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16660" cy="651510"/>
                    </a:xfrm>
                    <a:prstGeom prst="rect">
                      <a:avLst/>
                    </a:prstGeom>
                  </pic:spPr>
                </pic:pic>
              </a:graphicData>
            </a:graphic>
            <wp14:sizeRelH relativeFrom="page">
              <wp14:pctWidth>0</wp14:pctWidth>
            </wp14:sizeRelH>
            <wp14:sizeRelV relativeFrom="page">
              <wp14:pctHeight>0</wp14:pctHeight>
            </wp14:sizeRelV>
          </wp:anchor>
        </w:drawing>
      </w:r>
      <w:r w:rsidR="008B1025" w:rsidRPr="00FC14E3">
        <w:rPr>
          <w:noProof/>
        </w:rPr>
        <w:drawing>
          <wp:anchor distT="0" distB="0" distL="114300" distR="114300" simplePos="0" relativeHeight="251663360" behindDoc="0" locked="0" layoutInCell="1" allowOverlap="1" wp14:anchorId="0B212D23" wp14:editId="12CD602C">
            <wp:simplePos x="0" y="0"/>
            <wp:positionH relativeFrom="column">
              <wp:posOffset>4109720</wp:posOffset>
            </wp:positionH>
            <wp:positionV relativeFrom="paragraph">
              <wp:posOffset>41275</wp:posOffset>
            </wp:positionV>
            <wp:extent cx="1924050" cy="65976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94A">
        <w:t xml:space="preserve">One option for an alternative </w:t>
      </w:r>
      <w:r w:rsidR="00D31C0B">
        <w:t xml:space="preserve">color </w:t>
      </w:r>
      <w:r w:rsidR="0029694A">
        <w:t xml:space="preserve">scale is to select one base color and use variation in its intensity to convey information on causal strength, analogous to the “Strength of Color” scales used by the Natural Color Diamond Association (see </w:t>
      </w:r>
      <w:r w:rsidR="008B1025">
        <w:t xml:space="preserve">pyramid </w:t>
      </w:r>
      <w:r w:rsidR="0029694A">
        <w:t xml:space="preserve">image </w:t>
      </w:r>
      <w:r w:rsidR="008B1025">
        <w:t>above</w:t>
      </w:r>
      <w:r w:rsidR="0029694A">
        <w:t>).</w:t>
      </w:r>
      <w:r w:rsidR="009218B8">
        <w:t xml:space="preserve"> The color could be any other than </w:t>
      </w:r>
      <w:r w:rsidR="007B1685">
        <w:t xml:space="preserve">the versions of </w:t>
      </w:r>
      <w:r w:rsidR="009218B8">
        <w:t>green, yellow, or</w:t>
      </w:r>
      <w:r w:rsidR="007B1685">
        <w:t xml:space="preserve"> red used in the status/trend symbols. I show </w:t>
      </w:r>
      <w:r w:rsidR="00D31C0B">
        <w:t>two</w:t>
      </w:r>
      <w:r w:rsidR="007B1685">
        <w:t xml:space="preserve"> blue</w:t>
      </w:r>
      <w:r w:rsidR="00D31C0B">
        <w:t>s</w:t>
      </w:r>
      <w:r w:rsidR="007B1685">
        <w:t xml:space="preserve"> here, </w:t>
      </w:r>
      <w:r w:rsidR="008B1025">
        <w:t xml:space="preserve">one </w:t>
      </w:r>
      <w:r w:rsidR="007B1685">
        <w:t xml:space="preserve">in the “diamond strength of color” diagram and </w:t>
      </w:r>
      <w:r w:rsidR="008B1025">
        <w:t xml:space="preserve">one </w:t>
      </w:r>
      <w:r w:rsidR="007B1685">
        <w:t>in a possible version for the KA.</w:t>
      </w:r>
      <w:r w:rsidR="00BD4CCE" w:rsidRPr="00BD4CCE">
        <w:t xml:space="preserve"> </w:t>
      </w:r>
      <w:r w:rsidR="003E0BD4">
        <w:t>Blue has the advantage that it is not conventionally associated with warnings.</w:t>
      </w:r>
      <w:r w:rsidR="007C1D15">
        <w:t xml:space="preserve"> [A medium blue also does not overpower the visibility of the shape border].</w:t>
      </w:r>
    </w:p>
    <w:p w:rsidR="00D31C0B" w:rsidRDefault="003F4B12" w:rsidP="00CF4384">
      <w:pPr>
        <w:pStyle w:val="ListParagraph"/>
        <w:numPr>
          <w:ilvl w:val="1"/>
          <w:numId w:val="5"/>
        </w:numPr>
        <w:tabs>
          <w:tab w:val="left" w:pos="1080"/>
        </w:tabs>
        <w:ind w:left="1080"/>
      </w:pPr>
      <w:r w:rsidRPr="003F4B12">
        <w:rPr>
          <w:noProof/>
        </w:rPr>
        <w:drawing>
          <wp:anchor distT="0" distB="0" distL="114300" distR="114300" simplePos="0" relativeHeight="251662336" behindDoc="0" locked="0" layoutInCell="1" allowOverlap="1" wp14:anchorId="41ED4732" wp14:editId="46D12DF1">
            <wp:simplePos x="0" y="0"/>
            <wp:positionH relativeFrom="column">
              <wp:posOffset>4085590</wp:posOffset>
            </wp:positionH>
            <wp:positionV relativeFrom="paragraph">
              <wp:posOffset>385445</wp:posOffset>
            </wp:positionV>
            <wp:extent cx="1924050" cy="65976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C0B">
        <w:t xml:space="preserve">Another option for an alternative color scale is to select a different set of </w:t>
      </w:r>
      <w:r w:rsidR="00BD4CCE">
        <w:t xml:space="preserve">three </w:t>
      </w:r>
      <w:r w:rsidR="00D31C0B">
        <w:t>colors</w:t>
      </w:r>
      <w:r w:rsidR="00BD4CCE">
        <w:t xml:space="preserve"> to represent the scale. This is a bit more difficult, since you don’t want any</w:t>
      </w:r>
      <w:r w:rsidR="0039290D">
        <w:t xml:space="preserve"> colors </w:t>
      </w:r>
      <w:r w:rsidR="00BD4CCE">
        <w:t xml:space="preserve">that </w:t>
      </w:r>
      <w:r w:rsidR="00CC2445">
        <w:t>are similar to those in the</w:t>
      </w:r>
      <w:r w:rsidR="00BD4CCE">
        <w:t xml:space="preserve"> status/trend scorecard</w:t>
      </w:r>
      <w:r w:rsidR="00CC2445">
        <w:t>s</w:t>
      </w:r>
      <w:r w:rsidR="00BD4CCE">
        <w:t xml:space="preserve">. However, </w:t>
      </w:r>
      <w:r>
        <w:t xml:space="preserve">it is difficult to identify a set of </w:t>
      </w:r>
      <w:r w:rsidR="00CF4384">
        <w:t xml:space="preserve">three </w:t>
      </w:r>
      <w:r>
        <w:t>colors that convey</w:t>
      </w:r>
      <w:r w:rsidR="00CF4384">
        <w:t>s</w:t>
      </w:r>
      <w:r>
        <w:t xml:space="preserve"> a message of </w:t>
      </w:r>
      <w:r w:rsidR="00CF4384">
        <w:t xml:space="preserve">varying </w:t>
      </w:r>
      <w:r>
        <w:t xml:space="preserve">“strength.” As shown by the example </w:t>
      </w:r>
      <w:r w:rsidR="00CF4384">
        <w:t>here</w:t>
      </w:r>
      <w:r>
        <w:t>, a scale using different colors does not easily convey information about strength unless it uses colors that conventionally do that for us, such as the green-yellow-red combination.</w:t>
      </w:r>
    </w:p>
    <w:p w:rsidR="007C1D15" w:rsidRDefault="00CF4384" w:rsidP="00CF4384">
      <w:pPr>
        <w:pStyle w:val="ListParagraph"/>
        <w:numPr>
          <w:ilvl w:val="0"/>
          <w:numId w:val="5"/>
        </w:numPr>
      </w:pPr>
      <w:r>
        <w:t>If the SCAHG decides to change symbol shape and use a different color scale to convey information about t</w:t>
      </w:r>
      <w:r w:rsidR="003E0BD4">
        <w:t xml:space="preserve">he strength of causal relationships, it </w:t>
      </w:r>
      <w:r w:rsidR="007C1D15">
        <w:t xml:space="preserve">has two options for conveying information </w:t>
      </w:r>
      <w:r w:rsidR="0025565E">
        <w:t xml:space="preserve">in the driver/constraint and management/impact scorecards </w:t>
      </w:r>
      <w:r w:rsidR="007C1D15">
        <w:t xml:space="preserve">about direction </w:t>
      </w:r>
      <w:r w:rsidR="0025565E">
        <w:t xml:space="preserve">of effect </w:t>
      </w:r>
      <w:r w:rsidR="007C1D15">
        <w:t>and confidence:</w:t>
      </w:r>
    </w:p>
    <w:p w:rsidR="00CF4384" w:rsidRDefault="00B923B5" w:rsidP="007C1D15">
      <w:pPr>
        <w:pStyle w:val="ListParagraph"/>
        <w:numPr>
          <w:ilvl w:val="1"/>
          <w:numId w:val="5"/>
        </w:numPr>
        <w:ind w:left="1080"/>
      </w:pPr>
      <w:r>
        <w:t>S</w:t>
      </w:r>
      <w:r w:rsidR="003E0BD4">
        <w:t>tick with the existing (NRCA) methods for conveying information about direction and confidence. In the context of a different symbol shape and different color scale, this should not result in any confusion.</w:t>
      </w:r>
    </w:p>
    <w:p w:rsidR="00B923B5" w:rsidRDefault="00B923B5" w:rsidP="007C1D15">
      <w:pPr>
        <w:pStyle w:val="ListParagraph"/>
        <w:numPr>
          <w:ilvl w:val="1"/>
          <w:numId w:val="5"/>
        </w:numPr>
        <w:ind w:left="1080"/>
      </w:pPr>
      <w:r>
        <w:t>Come up with alternative methods for conveying information about direction and confidence</w:t>
      </w:r>
      <w:r w:rsidR="00574E3D">
        <w:t>. We have not attempted to come up with any options here.</w:t>
      </w:r>
    </w:p>
    <w:p w:rsidR="00F67DAE" w:rsidRDefault="00574E3D" w:rsidP="00F67DAE">
      <w:r>
        <w:t>If the SCAHG goes with options 2, 3a, and 4a, we would end up with symbols such as the following</w:t>
      </w:r>
      <w:r w:rsidR="00205275">
        <w:t xml:space="preserve"> (</w:t>
      </w:r>
      <w:r w:rsidR="00CC2445">
        <w:t xml:space="preserve">these are </w:t>
      </w:r>
      <w:r w:rsidR="00205275">
        <w:t xml:space="preserve">examples, pending </w:t>
      </w:r>
      <w:r w:rsidR="00CC2445">
        <w:t xml:space="preserve">a </w:t>
      </w:r>
      <w:r w:rsidR="00205275">
        <w:t>decision on color scale)</w:t>
      </w:r>
      <w:r>
        <w:t>:</w:t>
      </w:r>
    </w:p>
    <w:tbl>
      <w:tblPr>
        <w:tblStyle w:val="TableGrid"/>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008"/>
        <w:gridCol w:w="2232"/>
        <w:gridCol w:w="1008"/>
        <w:gridCol w:w="2232"/>
        <w:gridCol w:w="1008"/>
        <w:gridCol w:w="2232"/>
      </w:tblGrid>
      <w:tr w:rsidR="003B2991" w:rsidRPr="0098497F" w:rsidTr="009A4F85">
        <w:tc>
          <w:tcPr>
            <w:tcW w:w="9720" w:type="dxa"/>
            <w:gridSpan w:val="6"/>
            <w:shd w:val="clear" w:color="auto" w:fill="auto"/>
            <w:tcMar>
              <w:top w:w="86" w:type="dxa"/>
              <w:left w:w="86" w:type="dxa"/>
              <w:bottom w:w="86" w:type="dxa"/>
              <w:right w:w="86" w:type="dxa"/>
            </w:tcMar>
            <w:vAlign w:val="center"/>
          </w:tcPr>
          <w:p w:rsidR="003B2991" w:rsidRPr="0098497F" w:rsidRDefault="003B2991" w:rsidP="003B2991">
            <w:pPr>
              <w:rPr>
                <w:rFonts w:ascii="Arial" w:hAnsi="Arial" w:cs="Arial"/>
                <w:b/>
              </w:rPr>
            </w:pPr>
            <w:r>
              <w:rPr>
                <w:rFonts w:ascii="Arial" w:hAnsi="Arial" w:cs="Arial"/>
                <w:b/>
              </w:rPr>
              <w:t>Driver/Constraint and Management/Impact</w:t>
            </w:r>
            <w:r w:rsidRPr="0095667A">
              <w:rPr>
                <w:rFonts w:ascii="Arial" w:hAnsi="Arial" w:cs="Arial"/>
                <w:b/>
              </w:rPr>
              <w:t xml:space="preserve"> Symbol Set</w:t>
            </w:r>
          </w:p>
        </w:tc>
      </w:tr>
      <w:tr w:rsidR="003B2991" w:rsidRPr="0098497F" w:rsidTr="009A4F85">
        <w:tc>
          <w:tcPr>
            <w:tcW w:w="3240" w:type="dxa"/>
            <w:gridSpan w:val="2"/>
            <w:shd w:val="clear" w:color="auto" w:fill="F2F2F2"/>
            <w:tcMar>
              <w:top w:w="86" w:type="dxa"/>
              <w:left w:w="86" w:type="dxa"/>
              <w:bottom w:w="86" w:type="dxa"/>
              <w:right w:w="86" w:type="dxa"/>
            </w:tcMar>
            <w:vAlign w:val="center"/>
            <w:hideMark/>
          </w:tcPr>
          <w:p w:rsidR="003B2991" w:rsidRPr="0098497F" w:rsidRDefault="00553785" w:rsidP="009A4F85">
            <w:pPr>
              <w:jc w:val="center"/>
              <w:rPr>
                <w:rFonts w:ascii="Arial" w:hAnsi="Arial" w:cs="Arial"/>
                <w:b/>
              </w:rPr>
            </w:pPr>
            <w:r>
              <w:rPr>
                <w:rFonts w:ascii="Arial" w:hAnsi="Arial" w:cs="Arial"/>
                <w:b/>
              </w:rPr>
              <w:t>Strength of Effect</w:t>
            </w:r>
          </w:p>
        </w:tc>
        <w:tc>
          <w:tcPr>
            <w:tcW w:w="3240" w:type="dxa"/>
            <w:gridSpan w:val="2"/>
            <w:shd w:val="clear" w:color="auto" w:fill="F2F2F2"/>
            <w:tcMar>
              <w:top w:w="86" w:type="dxa"/>
              <w:left w:w="86" w:type="dxa"/>
              <w:bottom w:w="86" w:type="dxa"/>
              <w:right w:w="86" w:type="dxa"/>
            </w:tcMar>
            <w:vAlign w:val="center"/>
            <w:hideMark/>
          </w:tcPr>
          <w:p w:rsidR="003B2991" w:rsidRPr="0098497F" w:rsidRDefault="00553785" w:rsidP="009A4F85">
            <w:pPr>
              <w:jc w:val="center"/>
              <w:rPr>
                <w:rFonts w:ascii="Arial" w:hAnsi="Arial" w:cs="Arial"/>
                <w:b/>
              </w:rPr>
            </w:pPr>
            <w:r>
              <w:rPr>
                <w:rFonts w:ascii="Arial" w:hAnsi="Arial" w:cs="Arial"/>
                <w:b/>
              </w:rPr>
              <w:t>Direction of Effect</w:t>
            </w:r>
          </w:p>
        </w:tc>
        <w:tc>
          <w:tcPr>
            <w:tcW w:w="3240" w:type="dxa"/>
            <w:gridSpan w:val="2"/>
            <w:shd w:val="clear" w:color="auto" w:fill="F2F2F2"/>
            <w:tcMar>
              <w:top w:w="86" w:type="dxa"/>
              <w:left w:w="86" w:type="dxa"/>
              <w:bottom w:w="86" w:type="dxa"/>
              <w:right w:w="86" w:type="dxa"/>
            </w:tcMar>
            <w:vAlign w:val="center"/>
            <w:hideMark/>
          </w:tcPr>
          <w:p w:rsidR="003B2991" w:rsidRPr="0098497F" w:rsidRDefault="003B2991" w:rsidP="00553785">
            <w:pPr>
              <w:jc w:val="center"/>
              <w:rPr>
                <w:rFonts w:ascii="Arial" w:hAnsi="Arial" w:cs="Arial"/>
              </w:rPr>
            </w:pPr>
            <w:r w:rsidRPr="0098497F">
              <w:rPr>
                <w:rFonts w:ascii="Arial" w:hAnsi="Arial" w:cs="Arial"/>
                <w:b/>
              </w:rPr>
              <w:t xml:space="preserve">Confidence in </w:t>
            </w:r>
            <w:r w:rsidR="00553785">
              <w:rPr>
                <w:rFonts w:ascii="Arial" w:hAnsi="Arial" w:cs="Arial"/>
                <w:b/>
              </w:rPr>
              <w:t>Strength &amp; Direction</w:t>
            </w:r>
            <w:r>
              <w:rPr>
                <w:rFonts w:ascii="Arial" w:hAnsi="Arial" w:cs="Arial"/>
                <w:b/>
              </w:rPr>
              <w:t xml:space="preserve"> </w:t>
            </w:r>
            <w:r w:rsidRPr="0098497F">
              <w:rPr>
                <w:rFonts w:ascii="Arial" w:hAnsi="Arial" w:cs="Arial"/>
                <w:b/>
              </w:rPr>
              <w:t>Assessment</w:t>
            </w:r>
            <w:r>
              <w:rPr>
                <w:rFonts w:ascii="Arial" w:hAnsi="Arial" w:cs="Arial"/>
                <w:b/>
              </w:rPr>
              <w:t>s</w:t>
            </w:r>
          </w:p>
        </w:tc>
      </w:tr>
      <w:tr w:rsidR="003B2991" w:rsidRPr="0098497F" w:rsidTr="009A4F85">
        <w:trPr>
          <w:trHeight w:val="864"/>
        </w:trPr>
        <w:tc>
          <w:tcPr>
            <w:tcW w:w="1008" w:type="dxa"/>
            <w:tcMar>
              <w:top w:w="29" w:type="dxa"/>
              <w:left w:w="29" w:type="dxa"/>
              <w:bottom w:w="29" w:type="dxa"/>
              <w:right w:w="29" w:type="dxa"/>
            </w:tcMar>
            <w:vAlign w:val="center"/>
            <w:hideMark/>
          </w:tcPr>
          <w:p w:rsidR="003B2991" w:rsidRPr="0098497F" w:rsidRDefault="008E5708" w:rsidP="009A4F85">
            <w:pPr>
              <w:jc w:val="center"/>
              <w:rPr>
                <w:rFonts w:ascii="Arial" w:hAnsi="Arial" w:cs="Arial"/>
              </w:rPr>
            </w:pPr>
            <w:r>
              <w:rPr>
                <w:rFonts w:ascii="Arial" w:hAnsi="Arial" w:cs="Arial"/>
                <w:noProof/>
              </w:rPr>
              <w:drawing>
                <wp:inline distT="0" distB="0" distL="0" distR="0" wp14:anchorId="3D79951A" wp14:editId="7C59D8F0">
                  <wp:extent cx="604520" cy="6045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2C3532" w:rsidP="009A4F85">
            <w:pPr>
              <w:jc w:val="center"/>
              <w:rPr>
                <w:rFonts w:ascii="Arial" w:hAnsi="Arial" w:cs="Arial"/>
                <w:sz w:val="21"/>
                <w:szCs w:val="21"/>
              </w:rPr>
            </w:pPr>
            <w:r>
              <w:rPr>
                <w:rFonts w:ascii="Arial" w:hAnsi="Arial" w:cs="Arial"/>
                <w:sz w:val="21"/>
                <w:szCs w:val="21"/>
              </w:rPr>
              <w:t>Strong</w:t>
            </w:r>
          </w:p>
        </w:tc>
        <w:tc>
          <w:tcPr>
            <w:tcW w:w="1008" w:type="dxa"/>
            <w:tcMar>
              <w:top w:w="29" w:type="dxa"/>
              <w:left w:w="29" w:type="dxa"/>
              <w:bottom w:w="29" w:type="dxa"/>
              <w:right w:w="29" w:type="dxa"/>
            </w:tcMar>
            <w:vAlign w:val="center"/>
            <w:hideMark/>
          </w:tcPr>
          <w:p w:rsidR="003B2991" w:rsidRPr="0098497F" w:rsidRDefault="003B2991" w:rsidP="009A4F85">
            <w:pPr>
              <w:jc w:val="center"/>
              <w:rPr>
                <w:rFonts w:ascii="Arial" w:hAnsi="Arial" w:cs="Arial"/>
                <w:sz w:val="21"/>
                <w:szCs w:val="21"/>
              </w:rPr>
            </w:pPr>
            <w:r>
              <w:rPr>
                <w:rFonts w:ascii="Arial" w:hAnsi="Arial" w:cs="Arial"/>
                <w:noProof/>
                <w:sz w:val="21"/>
                <w:szCs w:val="21"/>
              </w:rPr>
              <w:drawing>
                <wp:inline distT="0" distB="0" distL="0" distR="0" wp14:anchorId="1DE46EDE" wp14:editId="5F7E01E7">
                  <wp:extent cx="342646" cy="457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646" cy="45720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2C3532" w:rsidP="009A4F85">
            <w:pPr>
              <w:jc w:val="center"/>
              <w:rPr>
                <w:rFonts w:ascii="Arial" w:hAnsi="Arial" w:cs="Arial"/>
                <w:sz w:val="21"/>
                <w:szCs w:val="21"/>
              </w:rPr>
            </w:pPr>
            <w:r>
              <w:rPr>
                <w:rFonts w:ascii="Arial" w:hAnsi="Arial" w:cs="Arial"/>
                <w:sz w:val="21"/>
                <w:szCs w:val="21"/>
              </w:rPr>
              <w:t>Positive Effect</w:t>
            </w:r>
          </w:p>
        </w:tc>
        <w:tc>
          <w:tcPr>
            <w:tcW w:w="1008" w:type="dxa"/>
            <w:tcMar>
              <w:top w:w="29" w:type="dxa"/>
              <w:left w:w="29" w:type="dxa"/>
              <w:bottom w:w="29" w:type="dxa"/>
              <w:right w:w="29" w:type="dxa"/>
            </w:tcMar>
            <w:vAlign w:val="center"/>
            <w:hideMark/>
          </w:tcPr>
          <w:p w:rsidR="003B2991" w:rsidRPr="0098497F" w:rsidRDefault="002C3532" w:rsidP="009A4F85">
            <w:pPr>
              <w:jc w:val="center"/>
              <w:rPr>
                <w:rFonts w:ascii="Arial" w:hAnsi="Arial" w:cs="Arial"/>
                <w:sz w:val="21"/>
                <w:szCs w:val="21"/>
              </w:rPr>
            </w:pPr>
            <w:r>
              <w:rPr>
                <w:rFonts w:ascii="Arial" w:hAnsi="Arial" w:cs="Arial"/>
                <w:noProof/>
                <w:sz w:val="21"/>
                <w:szCs w:val="21"/>
              </w:rPr>
              <w:drawing>
                <wp:inline distT="0" distB="0" distL="0" distR="0" wp14:anchorId="001BF129" wp14:editId="4AFF5722">
                  <wp:extent cx="604520" cy="6045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3B2991" w:rsidP="009A4F85">
            <w:pPr>
              <w:jc w:val="center"/>
              <w:rPr>
                <w:rFonts w:ascii="Arial" w:hAnsi="Arial" w:cs="Arial"/>
                <w:sz w:val="21"/>
                <w:szCs w:val="21"/>
              </w:rPr>
            </w:pPr>
            <w:r w:rsidRPr="0098497F">
              <w:rPr>
                <w:rFonts w:ascii="Arial" w:hAnsi="Arial" w:cs="Arial"/>
                <w:sz w:val="21"/>
                <w:szCs w:val="21"/>
              </w:rPr>
              <w:t>High</w:t>
            </w:r>
          </w:p>
        </w:tc>
      </w:tr>
      <w:tr w:rsidR="003B2991" w:rsidRPr="0098497F" w:rsidTr="009A4F85">
        <w:trPr>
          <w:trHeight w:val="750"/>
        </w:trPr>
        <w:tc>
          <w:tcPr>
            <w:tcW w:w="1008" w:type="dxa"/>
            <w:tcMar>
              <w:top w:w="29" w:type="dxa"/>
              <w:left w:w="29" w:type="dxa"/>
              <w:bottom w:w="29" w:type="dxa"/>
              <w:right w:w="29" w:type="dxa"/>
            </w:tcMar>
            <w:vAlign w:val="center"/>
            <w:hideMark/>
          </w:tcPr>
          <w:p w:rsidR="003B2991" w:rsidRPr="0098497F" w:rsidRDefault="008E5708" w:rsidP="009A4F85">
            <w:pPr>
              <w:jc w:val="center"/>
              <w:rPr>
                <w:rFonts w:ascii="Arial" w:hAnsi="Arial" w:cs="Arial"/>
              </w:rPr>
            </w:pPr>
            <w:r>
              <w:rPr>
                <w:rFonts w:ascii="Arial" w:hAnsi="Arial" w:cs="Arial"/>
                <w:noProof/>
              </w:rPr>
              <w:drawing>
                <wp:inline distT="0" distB="0" distL="0" distR="0" wp14:anchorId="1D17EBFB" wp14:editId="39C4B0C9">
                  <wp:extent cx="604520" cy="6045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3B2991" w:rsidP="002C3532">
            <w:pPr>
              <w:jc w:val="center"/>
              <w:rPr>
                <w:rFonts w:ascii="Arial" w:hAnsi="Arial" w:cs="Arial"/>
                <w:sz w:val="21"/>
                <w:szCs w:val="21"/>
              </w:rPr>
            </w:pPr>
            <w:r w:rsidRPr="0098497F">
              <w:rPr>
                <w:rFonts w:ascii="Arial" w:hAnsi="Arial" w:cs="Arial"/>
                <w:sz w:val="21"/>
                <w:szCs w:val="21"/>
              </w:rPr>
              <w:t xml:space="preserve">Moderate </w:t>
            </w:r>
          </w:p>
        </w:tc>
        <w:tc>
          <w:tcPr>
            <w:tcW w:w="1008" w:type="dxa"/>
            <w:tcMar>
              <w:top w:w="29" w:type="dxa"/>
              <w:left w:w="29" w:type="dxa"/>
              <w:bottom w:w="29" w:type="dxa"/>
              <w:right w:w="29" w:type="dxa"/>
            </w:tcMar>
            <w:vAlign w:val="center"/>
            <w:hideMark/>
          </w:tcPr>
          <w:p w:rsidR="003B2991" w:rsidRPr="0098497F" w:rsidRDefault="003B2991" w:rsidP="009A4F85">
            <w:pPr>
              <w:jc w:val="center"/>
              <w:rPr>
                <w:rFonts w:ascii="Arial" w:hAnsi="Arial" w:cs="Arial"/>
                <w:sz w:val="21"/>
                <w:szCs w:val="21"/>
              </w:rPr>
            </w:pPr>
            <w:r>
              <w:rPr>
                <w:rFonts w:ascii="Arial" w:hAnsi="Arial" w:cs="Arial"/>
                <w:noProof/>
                <w:sz w:val="21"/>
                <w:szCs w:val="21"/>
              </w:rPr>
              <w:drawing>
                <wp:inline distT="0" distB="0" distL="0" distR="0" wp14:anchorId="49BED620" wp14:editId="392971ED">
                  <wp:extent cx="457200" cy="342647"/>
                  <wp:effectExtent l="0" t="0" r="0" b="6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342647"/>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2C3532" w:rsidP="009A4F85">
            <w:pPr>
              <w:jc w:val="center"/>
              <w:rPr>
                <w:rFonts w:ascii="Arial" w:hAnsi="Arial" w:cs="Arial"/>
                <w:sz w:val="21"/>
                <w:szCs w:val="21"/>
              </w:rPr>
            </w:pPr>
            <w:r>
              <w:rPr>
                <w:rFonts w:ascii="Arial" w:hAnsi="Arial" w:cs="Arial"/>
                <w:sz w:val="21"/>
                <w:szCs w:val="21"/>
              </w:rPr>
              <w:t>No Effect</w:t>
            </w:r>
          </w:p>
        </w:tc>
        <w:tc>
          <w:tcPr>
            <w:tcW w:w="1008" w:type="dxa"/>
            <w:tcMar>
              <w:top w:w="29" w:type="dxa"/>
              <w:left w:w="29" w:type="dxa"/>
              <w:bottom w:w="29" w:type="dxa"/>
              <w:right w:w="29" w:type="dxa"/>
            </w:tcMar>
            <w:vAlign w:val="center"/>
            <w:hideMark/>
          </w:tcPr>
          <w:p w:rsidR="003B2991" w:rsidRPr="0098497F" w:rsidRDefault="00205275" w:rsidP="009A4F85">
            <w:pPr>
              <w:jc w:val="center"/>
              <w:rPr>
                <w:rFonts w:ascii="Arial" w:hAnsi="Arial" w:cs="Arial"/>
                <w:sz w:val="21"/>
                <w:szCs w:val="21"/>
              </w:rPr>
            </w:pPr>
            <w:r>
              <w:rPr>
                <w:rFonts w:ascii="Arial" w:hAnsi="Arial" w:cs="Arial"/>
                <w:noProof/>
                <w:sz w:val="21"/>
                <w:szCs w:val="21"/>
              </w:rPr>
              <w:drawing>
                <wp:inline distT="0" distB="0" distL="0" distR="0" wp14:anchorId="060464F2" wp14:editId="71A15534">
                  <wp:extent cx="604520" cy="6045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3B2991" w:rsidP="009A4F85">
            <w:pPr>
              <w:jc w:val="center"/>
              <w:rPr>
                <w:rFonts w:ascii="Arial" w:hAnsi="Arial" w:cs="Arial"/>
                <w:sz w:val="21"/>
                <w:szCs w:val="21"/>
              </w:rPr>
            </w:pPr>
            <w:r w:rsidRPr="0098497F">
              <w:rPr>
                <w:rFonts w:ascii="Arial" w:hAnsi="Arial" w:cs="Arial"/>
                <w:sz w:val="21"/>
                <w:szCs w:val="21"/>
              </w:rPr>
              <w:t>Medium</w:t>
            </w:r>
          </w:p>
        </w:tc>
      </w:tr>
      <w:tr w:rsidR="003B2991" w:rsidRPr="0098497F" w:rsidTr="009A4F85">
        <w:trPr>
          <w:trHeight w:val="750"/>
        </w:trPr>
        <w:tc>
          <w:tcPr>
            <w:tcW w:w="1008" w:type="dxa"/>
            <w:tcMar>
              <w:top w:w="29" w:type="dxa"/>
              <w:left w:w="29" w:type="dxa"/>
              <w:bottom w:w="29" w:type="dxa"/>
              <w:right w:w="29" w:type="dxa"/>
            </w:tcMar>
            <w:vAlign w:val="center"/>
            <w:hideMark/>
          </w:tcPr>
          <w:p w:rsidR="003B2991" w:rsidRPr="0098497F" w:rsidRDefault="008E5708" w:rsidP="009A4F85">
            <w:pPr>
              <w:jc w:val="center"/>
              <w:rPr>
                <w:rFonts w:ascii="Arial" w:hAnsi="Arial" w:cs="Arial"/>
              </w:rPr>
            </w:pPr>
            <w:r>
              <w:rPr>
                <w:rFonts w:ascii="Arial" w:hAnsi="Arial" w:cs="Arial"/>
                <w:noProof/>
              </w:rPr>
              <w:drawing>
                <wp:inline distT="0" distB="0" distL="0" distR="0" wp14:anchorId="4079E5FC" wp14:editId="1F78D3B5">
                  <wp:extent cx="604520" cy="6045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2C3532" w:rsidP="009A4F85">
            <w:pPr>
              <w:jc w:val="center"/>
              <w:rPr>
                <w:rFonts w:ascii="Arial" w:hAnsi="Arial" w:cs="Arial"/>
                <w:sz w:val="21"/>
                <w:szCs w:val="21"/>
              </w:rPr>
            </w:pPr>
            <w:r>
              <w:rPr>
                <w:rFonts w:ascii="Arial" w:hAnsi="Arial" w:cs="Arial"/>
                <w:sz w:val="21"/>
                <w:szCs w:val="21"/>
              </w:rPr>
              <w:t>Weak</w:t>
            </w:r>
          </w:p>
        </w:tc>
        <w:tc>
          <w:tcPr>
            <w:tcW w:w="1008" w:type="dxa"/>
            <w:tcMar>
              <w:top w:w="29" w:type="dxa"/>
              <w:left w:w="29" w:type="dxa"/>
              <w:bottom w:w="29" w:type="dxa"/>
              <w:right w:w="29" w:type="dxa"/>
            </w:tcMar>
            <w:vAlign w:val="center"/>
            <w:hideMark/>
          </w:tcPr>
          <w:p w:rsidR="003B2991" w:rsidRPr="0098497F" w:rsidRDefault="003B2991" w:rsidP="009A4F85">
            <w:pPr>
              <w:jc w:val="center"/>
              <w:rPr>
                <w:rFonts w:ascii="Arial" w:hAnsi="Arial" w:cs="Arial"/>
                <w:sz w:val="21"/>
                <w:szCs w:val="21"/>
              </w:rPr>
            </w:pPr>
            <w:r>
              <w:rPr>
                <w:rFonts w:ascii="Arial" w:hAnsi="Arial" w:cs="Arial"/>
                <w:noProof/>
                <w:sz w:val="21"/>
                <w:szCs w:val="21"/>
              </w:rPr>
              <w:drawing>
                <wp:inline distT="0" distB="0" distL="0" distR="0" wp14:anchorId="795E9474" wp14:editId="3C720DD8">
                  <wp:extent cx="342647" cy="457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647" cy="45720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2C3532" w:rsidP="009A4F85">
            <w:pPr>
              <w:jc w:val="center"/>
              <w:rPr>
                <w:rFonts w:ascii="Arial" w:hAnsi="Arial" w:cs="Arial"/>
                <w:sz w:val="21"/>
                <w:szCs w:val="21"/>
              </w:rPr>
            </w:pPr>
            <w:r>
              <w:rPr>
                <w:rFonts w:ascii="Arial" w:hAnsi="Arial" w:cs="Arial"/>
                <w:sz w:val="21"/>
                <w:szCs w:val="21"/>
              </w:rPr>
              <w:t>Negative Effect</w:t>
            </w:r>
          </w:p>
        </w:tc>
        <w:tc>
          <w:tcPr>
            <w:tcW w:w="1008" w:type="dxa"/>
            <w:tcMar>
              <w:top w:w="29" w:type="dxa"/>
              <w:left w:w="29" w:type="dxa"/>
              <w:bottom w:w="29" w:type="dxa"/>
              <w:right w:w="29" w:type="dxa"/>
            </w:tcMar>
            <w:vAlign w:val="center"/>
            <w:hideMark/>
          </w:tcPr>
          <w:p w:rsidR="003B2991" w:rsidRPr="0098497F" w:rsidRDefault="00205275" w:rsidP="009A4F85">
            <w:pPr>
              <w:jc w:val="center"/>
              <w:rPr>
                <w:rFonts w:ascii="Arial" w:hAnsi="Arial" w:cs="Arial"/>
                <w:sz w:val="21"/>
                <w:szCs w:val="21"/>
              </w:rPr>
            </w:pPr>
            <w:r>
              <w:rPr>
                <w:rFonts w:ascii="Arial" w:hAnsi="Arial" w:cs="Arial"/>
                <w:noProof/>
                <w:sz w:val="21"/>
                <w:szCs w:val="21"/>
              </w:rPr>
              <w:drawing>
                <wp:inline distT="0" distB="0" distL="0" distR="0" wp14:anchorId="7E89D9ED" wp14:editId="097A5DB9">
                  <wp:extent cx="604520" cy="6045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hideMark/>
          </w:tcPr>
          <w:p w:rsidR="003B2991" w:rsidRPr="0098497F" w:rsidRDefault="003B2991" w:rsidP="009A4F85">
            <w:pPr>
              <w:jc w:val="center"/>
              <w:rPr>
                <w:rFonts w:ascii="Arial" w:hAnsi="Arial" w:cs="Arial"/>
                <w:sz w:val="21"/>
                <w:szCs w:val="21"/>
              </w:rPr>
            </w:pPr>
            <w:r w:rsidRPr="0098497F">
              <w:rPr>
                <w:rFonts w:ascii="Arial" w:hAnsi="Arial" w:cs="Arial"/>
                <w:sz w:val="21"/>
                <w:szCs w:val="21"/>
              </w:rPr>
              <w:t>Low</w:t>
            </w:r>
          </w:p>
        </w:tc>
      </w:tr>
      <w:tr w:rsidR="003B2991" w:rsidRPr="0098497F" w:rsidTr="009A4F85">
        <w:trPr>
          <w:trHeight w:val="864"/>
        </w:trPr>
        <w:tc>
          <w:tcPr>
            <w:tcW w:w="1008" w:type="dxa"/>
            <w:tcMar>
              <w:top w:w="29" w:type="dxa"/>
              <w:left w:w="29" w:type="dxa"/>
              <w:bottom w:w="29" w:type="dxa"/>
              <w:right w:w="29" w:type="dxa"/>
            </w:tcMar>
            <w:vAlign w:val="center"/>
          </w:tcPr>
          <w:p w:rsidR="003B2991" w:rsidRDefault="008E5708" w:rsidP="009A4F85">
            <w:pPr>
              <w:jc w:val="center"/>
              <w:rPr>
                <w:rFonts w:ascii="Arial" w:hAnsi="Arial" w:cs="Arial"/>
                <w:noProof/>
              </w:rPr>
            </w:pPr>
            <w:r>
              <w:rPr>
                <w:rFonts w:ascii="Arial" w:hAnsi="Arial" w:cs="Arial"/>
                <w:noProof/>
              </w:rPr>
              <w:drawing>
                <wp:inline distT="0" distB="0" distL="0" distR="0" wp14:anchorId="20CE9EA5" wp14:editId="31A8F583">
                  <wp:extent cx="604520" cy="6045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4520" cy="604520"/>
                          </a:xfrm>
                          <a:prstGeom prst="rect">
                            <a:avLst/>
                          </a:prstGeom>
                          <a:noFill/>
                          <a:ln>
                            <a:noFill/>
                          </a:ln>
                        </pic:spPr>
                      </pic:pic>
                    </a:graphicData>
                  </a:graphic>
                </wp:inline>
              </w:drawing>
            </w:r>
          </w:p>
        </w:tc>
        <w:tc>
          <w:tcPr>
            <w:tcW w:w="2232" w:type="dxa"/>
            <w:tcMar>
              <w:top w:w="29" w:type="dxa"/>
              <w:left w:w="29" w:type="dxa"/>
              <w:bottom w:w="29" w:type="dxa"/>
              <w:right w:w="29" w:type="dxa"/>
            </w:tcMar>
            <w:vAlign w:val="center"/>
          </w:tcPr>
          <w:p w:rsidR="003B2991" w:rsidRDefault="003B2991" w:rsidP="009A4F85">
            <w:pPr>
              <w:jc w:val="center"/>
              <w:rPr>
                <w:rFonts w:ascii="Arial" w:hAnsi="Arial" w:cs="Arial"/>
                <w:sz w:val="21"/>
                <w:szCs w:val="21"/>
              </w:rPr>
            </w:pPr>
            <w:r>
              <w:rPr>
                <w:rFonts w:ascii="Arial" w:hAnsi="Arial" w:cs="Arial"/>
                <w:sz w:val="21"/>
                <w:szCs w:val="21"/>
              </w:rPr>
              <w:t>Unknown</w:t>
            </w:r>
          </w:p>
        </w:tc>
        <w:tc>
          <w:tcPr>
            <w:tcW w:w="1008" w:type="dxa"/>
            <w:tcMar>
              <w:top w:w="29" w:type="dxa"/>
              <w:left w:w="29" w:type="dxa"/>
              <w:bottom w:w="29" w:type="dxa"/>
              <w:right w:w="29" w:type="dxa"/>
            </w:tcMar>
            <w:vAlign w:val="center"/>
          </w:tcPr>
          <w:p w:rsidR="003B2991" w:rsidRDefault="003B2991" w:rsidP="009A4F85">
            <w:pPr>
              <w:jc w:val="center"/>
              <w:rPr>
                <w:rFonts w:ascii="Arial" w:hAnsi="Arial" w:cs="Arial"/>
                <w:noProof/>
                <w:sz w:val="21"/>
                <w:szCs w:val="21"/>
              </w:rPr>
            </w:pPr>
            <w:r>
              <w:rPr>
                <w:rFonts w:ascii="Arial" w:hAnsi="Arial" w:cs="Arial"/>
                <w:noProof/>
                <w:sz w:val="21"/>
                <w:szCs w:val="21"/>
              </w:rPr>
              <w:drawing>
                <wp:inline distT="0" distB="0" distL="0" distR="0" wp14:anchorId="39DF66B3" wp14:editId="4A73BF23">
                  <wp:extent cx="365760" cy="42139"/>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42139"/>
                          </a:xfrm>
                          <a:prstGeom prst="rect">
                            <a:avLst/>
                          </a:prstGeom>
                          <a:noFill/>
                          <a:ln>
                            <a:noFill/>
                          </a:ln>
                        </pic:spPr>
                      </pic:pic>
                    </a:graphicData>
                  </a:graphic>
                </wp:inline>
              </w:drawing>
            </w:r>
          </w:p>
        </w:tc>
        <w:tc>
          <w:tcPr>
            <w:tcW w:w="2232" w:type="dxa"/>
            <w:tcMar>
              <w:top w:w="29" w:type="dxa"/>
              <w:left w:w="29" w:type="dxa"/>
              <w:bottom w:w="29" w:type="dxa"/>
              <w:right w:w="29" w:type="dxa"/>
            </w:tcMar>
            <w:vAlign w:val="center"/>
          </w:tcPr>
          <w:p w:rsidR="003B2991" w:rsidRPr="0098497F" w:rsidRDefault="003B2991" w:rsidP="009A4F85">
            <w:pPr>
              <w:jc w:val="center"/>
              <w:rPr>
                <w:rFonts w:ascii="Arial" w:hAnsi="Arial" w:cs="Arial"/>
                <w:sz w:val="21"/>
                <w:szCs w:val="21"/>
              </w:rPr>
            </w:pPr>
            <w:r>
              <w:rPr>
                <w:rFonts w:ascii="Arial" w:hAnsi="Arial" w:cs="Arial"/>
                <w:sz w:val="21"/>
                <w:szCs w:val="21"/>
              </w:rPr>
              <w:t>Unknown</w:t>
            </w:r>
          </w:p>
        </w:tc>
        <w:tc>
          <w:tcPr>
            <w:tcW w:w="3240" w:type="dxa"/>
            <w:gridSpan w:val="2"/>
            <w:tcMar>
              <w:top w:w="29" w:type="dxa"/>
              <w:left w:w="29" w:type="dxa"/>
              <w:bottom w:w="29" w:type="dxa"/>
              <w:right w:w="29" w:type="dxa"/>
            </w:tcMar>
            <w:vAlign w:val="center"/>
          </w:tcPr>
          <w:p w:rsidR="003B2991" w:rsidRPr="0098497F" w:rsidRDefault="003B2991" w:rsidP="009A4F85">
            <w:pPr>
              <w:jc w:val="center"/>
              <w:rPr>
                <w:rFonts w:ascii="Arial" w:hAnsi="Arial" w:cs="Arial"/>
                <w:sz w:val="21"/>
                <w:szCs w:val="21"/>
              </w:rPr>
            </w:pPr>
            <w:r>
              <w:rPr>
                <w:rFonts w:ascii="Arial" w:hAnsi="Arial" w:cs="Arial"/>
                <w:sz w:val="21"/>
                <w:szCs w:val="21"/>
              </w:rPr>
              <w:t>(n/a)</w:t>
            </w:r>
          </w:p>
        </w:tc>
      </w:tr>
    </w:tbl>
    <w:p w:rsidR="00F67DAE" w:rsidRDefault="00F67DAE" w:rsidP="00F67DAE"/>
    <w:sectPr w:rsidR="00F67DAE" w:rsidSect="00AD027E">
      <w:footerReference w:type="default" r:id="rId30"/>
      <w:headerReference w:type="first" r:id="rId3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639" w:rsidRDefault="00742639" w:rsidP="00031F5B">
      <w:pPr>
        <w:spacing w:after="0"/>
      </w:pPr>
      <w:r>
        <w:separator/>
      </w:r>
    </w:p>
  </w:endnote>
  <w:endnote w:type="continuationSeparator" w:id="0">
    <w:p w:rsidR="00742639" w:rsidRDefault="00742639" w:rsidP="00031F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C9" w:rsidRPr="004250C9" w:rsidRDefault="004250C9">
    <w:pPr>
      <w:pStyle w:val="Footer"/>
      <w:rPr>
        <w:rFonts w:ascii="Arial" w:hAnsi="Arial" w:cs="Arial"/>
        <w:color w:val="A6A6A6" w:themeColor="background1" w:themeShade="A6"/>
        <w:sz w:val="18"/>
      </w:rPr>
    </w:pPr>
    <w:r w:rsidRPr="004250C9">
      <w:rPr>
        <w:rFonts w:ascii="Arial" w:hAnsi="Arial" w:cs="Arial"/>
        <w:color w:val="A6A6A6" w:themeColor="background1" w:themeShade="A6"/>
        <w:sz w:val="18"/>
      </w:rPr>
      <w:t>Memo on KA Scorecard Symbols</w:t>
    </w:r>
    <w:r w:rsidRPr="004250C9">
      <w:rPr>
        <w:rFonts w:ascii="Arial" w:hAnsi="Arial" w:cs="Arial"/>
        <w:color w:val="A6A6A6" w:themeColor="background1" w:themeShade="A6"/>
        <w:sz w:val="18"/>
      </w:rPr>
      <w:tab/>
    </w:r>
    <w:r w:rsidRPr="004250C9">
      <w:rPr>
        <w:rFonts w:ascii="Arial" w:hAnsi="Arial" w:cs="Arial"/>
        <w:color w:val="A6A6A6" w:themeColor="background1" w:themeShade="A6"/>
        <w:sz w:val="18"/>
      </w:rPr>
      <w:tab/>
      <w:t xml:space="preserve">page </w:t>
    </w:r>
    <w:r w:rsidRPr="004250C9">
      <w:rPr>
        <w:rFonts w:ascii="Arial" w:hAnsi="Arial" w:cs="Arial"/>
        <w:color w:val="A6A6A6" w:themeColor="background1" w:themeShade="A6"/>
        <w:sz w:val="18"/>
      </w:rPr>
      <w:fldChar w:fldCharType="begin"/>
    </w:r>
    <w:r w:rsidRPr="004250C9">
      <w:rPr>
        <w:rFonts w:ascii="Arial" w:hAnsi="Arial" w:cs="Arial"/>
        <w:color w:val="A6A6A6" w:themeColor="background1" w:themeShade="A6"/>
        <w:sz w:val="18"/>
      </w:rPr>
      <w:instrText xml:space="preserve"> PAGE  \* Arabic  \* MERGEFORMAT </w:instrText>
    </w:r>
    <w:r w:rsidRPr="004250C9">
      <w:rPr>
        <w:rFonts w:ascii="Arial" w:hAnsi="Arial" w:cs="Arial"/>
        <w:color w:val="A6A6A6" w:themeColor="background1" w:themeShade="A6"/>
        <w:sz w:val="18"/>
      </w:rPr>
      <w:fldChar w:fldCharType="separate"/>
    </w:r>
    <w:r w:rsidR="00D419B0">
      <w:rPr>
        <w:rFonts w:ascii="Arial" w:hAnsi="Arial" w:cs="Arial"/>
        <w:noProof/>
        <w:color w:val="A6A6A6" w:themeColor="background1" w:themeShade="A6"/>
        <w:sz w:val="18"/>
      </w:rPr>
      <w:t>4</w:t>
    </w:r>
    <w:r w:rsidRPr="004250C9">
      <w:rPr>
        <w:rFonts w:ascii="Arial" w:hAnsi="Arial" w:cs="Arial"/>
        <w:color w:val="A6A6A6" w:themeColor="background1" w:themeShade="A6"/>
        <w:sz w:val="18"/>
      </w:rPr>
      <w:fldChar w:fldCharType="end"/>
    </w:r>
    <w:r w:rsidRPr="004250C9">
      <w:rPr>
        <w:rFonts w:ascii="Arial" w:hAnsi="Arial" w:cs="Arial"/>
        <w:color w:val="A6A6A6" w:themeColor="background1" w:themeShade="A6"/>
        <w:sz w:val="18"/>
      </w:rPr>
      <w:t xml:space="preserve"> of </w:t>
    </w:r>
    <w:r w:rsidRPr="004250C9">
      <w:rPr>
        <w:rFonts w:ascii="Arial" w:hAnsi="Arial" w:cs="Arial"/>
        <w:color w:val="A6A6A6" w:themeColor="background1" w:themeShade="A6"/>
        <w:sz w:val="18"/>
      </w:rPr>
      <w:fldChar w:fldCharType="begin"/>
    </w:r>
    <w:r w:rsidRPr="004250C9">
      <w:rPr>
        <w:rFonts w:ascii="Arial" w:hAnsi="Arial" w:cs="Arial"/>
        <w:color w:val="A6A6A6" w:themeColor="background1" w:themeShade="A6"/>
        <w:sz w:val="18"/>
      </w:rPr>
      <w:instrText xml:space="preserve"> NUMPAGES  \* Arabic  \* MERGEFORMAT </w:instrText>
    </w:r>
    <w:r w:rsidRPr="004250C9">
      <w:rPr>
        <w:rFonts w:ascii="Arial" w:hAnsi="Arial" w:cs="Arial"/>
        <w:color w:val="A6A6A6" w:themeColor="background1" w:themeShade="A6"/>
        <w:sz w:val="18"/>
      </w:rPr>
      <w:fldChar w:fldCharType="separate"/>
    </w:r>
    <w:r w:rsidR="00D419B0">
      <w:rPr>
        <w:rFonts w:ascii="Arial" w:hAnsi="Arial" w:cs="Arial"/>
        <w:noProof/>
        <w:color w:val="A6A6A6" w:themeColor="background1" w:themeShade="A6"/>
        <w:sz w:val="18"/>
      </w:rPr>
      <w:t>4</w:t>
    </w:r>
    <w:r w:rsidRPr="004250C9">
      <w:rPr>
        <w:rFonts w:ascii="Arial" w:hAnsi="Arial" w:cs="Arial"/>
        <w:color w:val="A6A6A6" w:themeColor="background1" w:themeShade="A6"/>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639" w:rsidRDefault="00742639" w:rsidP="00031F5B">
      <w:pPr>
        <w:spacing w:after="0"/>
      </w:pPr>
      <w:r>
        <w:separator/>
      </w:r>
    </w:p>
  </w:footnote>
  <w:footnote w:type="continuationSeparator" w:id="0">
    <w:p w:rsidR="00742639" w:rsidRDefault="00742639" w:rsidP="00031F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F5B" w:rsidRPr="00031F5B" w:rsidRDefault="00031F5B">
    <w:pPr>
      <w:pStyle w:val="Header"/>
      <w:rPr>
        <w:rFonts w:ascii="Arial" w:hAnsi="Arial" w:cs="Arial"/>
        <w:color w:val="A6A6A6" w:themeColor="background1" w:themeShade="A6"/>
        <w:sz w:val="44"/>
      </w:rPr>
    </w:pPr>
    <w:r w:rsidRPr="00031F5B">
      <w:rPr>
        <w:rFonts w:ascii="Arial" w:hAnsi="Arial" w:cs="Arial"/>
        <w:color w:val="A6A6A6" w:themeColor="background1" w:themeShade="A6"/>
        <w:sz w:val="44"/>
      </w:rPr>
      <w:t>Memo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657"/>
    <w:multiLevelType w:val="hybridMultilevel"/>
    <w:tmpl w:val="D1868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D42"/>
    <w:multiLevelType w:val="hybridMultilevel"/>
    <w:tmpl w:val="A75E5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6B7617"/>
    <w:multiLevelType w:val="hybridMultilevel"/>
    <w:tmpl w:val="3E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841F4"/>
    <w:multiLevelType w:val="hybridMultilevel"/>
    <w:tmpl w:val="F2E8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A0296"/>
    <w:multiLevelType w:val="hybridMultilevel"/>
    <w:tmpl w:val="D5C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DD"/>
    <w:rsid w:val="00013770"/>
    <w:rsid w:val="00031F5B"/>
    <w:rsid w:val="00087590"/>
    <w:rsid w:val="00093664"/>
    <w:rsid w:val="000B5AB1"/>
    <w:rsid w:val="000D1466"/>
    <w:rsid w:val="000D44F2"/>
    <w:rsid w:val="000F175F"/>
    <w:rsid w:val="00116CAB"/>
    <w:rsid w:val="00145080"/>
    <w:rsid w:val="001507B3"/>
    <w:rsid w:val="00192E96"/>
    <w:rsid w:val="001941DD"/>
    <w:rsid w:val="001D3979"/>
    <w:rsid w:val="00205275"/>
    <w:rsid w:val="002232D8"/>
    <w:rsid w:val="00236387"/>
    <w:rsid w:val="0025565E"/>
    <w:rsid w:val="00260E91"/>
    <w:rsid w:val="002946A4"/>
    <w:rsid w:val="0029694A"/>
    <w:rsid w:val="002B060B"/>
    <w:rsid w:val="002C3532"/>
    <w:rsid w:val="002C37F3"/>
    <w:rsid w:val="002D7244"/>
    <w:rsid w:val="00326A36"/>
    <w:rsid w:val="00367990"/>
    <w:rsid w:val="00392035"/>
    <w:rsid w:val="0039290D"/>
    <w:rsid w:val="003A5B31"/>
    <w:rsid w:val="003B2991"/>
    <w:rsid w:val="003C0A67"/>
    <w:rsid w:val="003D5C80"/>
    <w:rsid w:val="003E0BD4"/>
    <w:rsid w:val="003F4B12"/>
    <w:rsid w:val="003F5DE8"/>
    <w:rsid w:val="00401DAE"/>
    <w:rsid w:val="004250C9"/>
    <w:rsid w:val="00452803"/>
    <w:rsid w:val="00461E99"/>
    <w:rsid w:val="004737E1"/>
    <w:rsid w:val="004A3737"/>
    <w:rsid w:val="00505A7C"/>
    <w:rsid w:val="00511CB1"/>
    <w:rsid w:val="005312F9"/>
    <w:rsid w:val="005339D5"/>
    <w:rsid w:val="00553785"/>
    <w:rsid w:val="00574E3D"/>
    <w:rsid w:val="00584B32"/>
    <w:rsid w:val="005D6BCA"/>
    <w:rsid w:val="005E2EF2"/>
    <w:rsid w:val="005E5599"/>
    <w:rsid w:val="005F1708"/>
    <w:rsid w:val="00607996"/>
    <w:rsid w:val="006345FE"/>
    <w:rsid w:val="00635DE8"/>
    <w:rsid w:val="006A0FCA"/>
    <w:rsid w:val="006B0359"/>
    <w:rsid w:val="0070243A"/>
    <w:rsid w:val="007063B6"/>
    <w:rsid w:val="007318A8"/>
    <w:rsid w:val="00742639"/>
    <w:rsid w:val="007618E4"/>
    <w:rsid w:val="0078379D"/>
    <w:rsid w:val="007B1685"/>
    <w:rsid w:val="007B3AB2"/>
    <w:rsid w:val="007B707B"/>
    <w:rsid w:val="007C09E9"/>
    <w:rsid w:val="007C1D15"/>
    <w:rsid w:val="007D25D9"/>
    <w:rsid w:val="007F46F9"/>
    <w:rsid w:val="007F7C30"/>
    <w:rsid w:val="00804A7A"/>
    <w:rsid w:val="00826773"/>
    <w:rsid w:val="00890817"/>
    <w:rsid w:val="008A319C"/>
    <w:rsid w:val="008B0F13"/>
    <w:rsid w:val="008B1025"/>
    <w:rsid w:val="008D111A"/>
    <w:rsid w:val="008E5708"/>
    <w:rsid w:val="00906C70"/>
    <w:rsid w:val="009218B8"/>
    <w:rsid w:val="00955AB5"/>
    <w:rsid w:val="0095667A"/>
    <w:rsid w:val="0097457B"/>
    <w:rsid w:val="009754A6"/>
    <w:rsid w:val="009A0840"/>
    <w:rsid w:val="009D7691"/>
    <w:rsid w:val="009F3B66"/>
    <w:rsid w:val="00A071B4"/>
    <w:rsid w:val="00A31293"/>
    <w:rsid w:val="00A56A5E"/>
    <w:rsid w:val="00AB697A"/>
    <w:rsid w:val="00AB7DBD"/>
    <w:rsid w:val="00AC4EBE"/>
    <w:rsid w:val="00AD027E"/>
    <w:rsid w:val="00AD3464"/>
    <w:rsid w:val="00B33072"/>
    <w:rsid w:val="00B409C1"/>
    <w:rsid w:val="00B71474"/>
    <w:rsid w:val="00B923B5"/>
    <w:rsid w:val="00BA00CA"/>
    <w:rsid w:val="00BC31DF"/>
    <w:rsid w:val="00BD4CCE"/>
    <w:rsid w:val="00C33D36"/>
    <w:rsid w:val="00C55B1E"/>
    <w:rsid w:val="00CA1AB6"/>
    <w:rsid w:val="00CC2445"/>
    <w:rsid w:val="00CF4384"/>
    <w:rsid w:val="00D03364"/>
    <w:rsid w:val="00D07D69"/>
    <w:rsid w:val="00D177FE"/>
    <w:rsid w:val="00D31C0B"/>
    <w:rsid w:val="00D419B0"/>
    <w:rsid w:val="00D4307B"/>
    <w:rsid w:val="00D82172"/>
    <w:rsid w:val="00D95B22"/>
    <w:rsid w:val="00DB55D9"/>
    <w:rsid w:val="00DB5B71"/>
    <w:rsid w:val="00DD4093"/>
    <w:rsid w:val="00DF5675"/>
    <w:rsid w:val="00E42A07"/>
    <w:rsid w:val="00E80040"/>
    <w:rsid w:val="00E8462B"/>
    <w:rsid w:val="00F4679F"/>
    <w:rsid w:val="00F637F2"/>
    <w:rsid w:val="00F67DAE"/>
    <w:rsid w:val="00FC0A71"/>
    <w:rsid w:val="00FC14E3"/>
    <w:rsid w:val="00FC7B53"/>
    <w:rsid w:val="00F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C21257A-6940-4EAD-91AE-B8583CA4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0CA"/>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1D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94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DD"/>
    <w:rPr>
      <w:rFonts w:ascii="Tahoma" w:hAnsi="Tahoma" w:cs="Tahoma"/>
      <w:sz w:val="16"/>
      <w:szCs w:val="16"/>
    </w:rPr>
  </w:style>
  <w:style w:type="paragraph" w:styleId="Title">
    <w:name w:val="Title"/>
    <w:basedOn w:val="Normal"/>
    <w:next w:val="Normal"/>
    <w:link w:val="TitleChar"/>
    <w:uiPriority w:val="10"/>
    <w:qFormat/>
    <w:rsid w:val="00D430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0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1F5B"/>
    <w:pPr>
      <w:tabs>
        <w:tab w:val="center" w:pos="4680"/>
        <w:tab w:val="right" w:pos="9360"/>
      </w:tabs>
      <w:spacing w:after="0"/>
    </w:pPr>
  </w:style>
  <w:style w:type="character" w:customStyle="1" w:styleId="HeaderChar">
    <w:name w:val="Header Char"/>
    <w:basedOn w:val="DefaultParagraphFont"/>
    <w:link w:val="Header"/>
    <w:uiPriority w:val="99"/>
    <w:rsid w:val="00031F5B"/>
    <w:rPr>
      <w:rFonts w:ascii="Times New Roman" w:hAnsi="Times New Roman"/>
      <w:sz w:val="24"/>
    </w:rPr>
  </w:style>
  <w:style w:type="paragraph" w:styleId="Footer">
    <w:name w:val="footer"/>
    <w:basedOn w:val="Normal"/>
    <w:link w:val="FooterChar"/>
    <w:uiPriority w:val="99"/>
    <w:unhideWhenUsed/>
    <w:rsid w:val="00031F5B"/>
    <w:pPr>
      <w:tabs>
        <w:tab w:val="center" w:pos="4680"/>
        <w:tab w:val="right" w:pos="9360"/>
      </w:tabs>
      <w:spacing w:after="0"/>
    </w:pPr>
  </w:style>
  <w:style w:type="character" w:customStyle="1" w:styleId="FooterChar">
    <w:name w:val="Footer Char"/>
    <w:basedOn w:val="DefaultParagraphFont"/>
    <w:link w:val="Footer"/>
    <w:uiPriority w:val="99"/>
    <w:rsid w:val="00031F5B"/>
    <w:rPr>
      <w:rFonts w:ascii="Times New Roman" w:hAnsi="Times New Roman"/>
      <w:sz w:val="24"/>
    </w:rPr>
  </w:style>
  <w:style w:type="paragraph" w:styleId="FootnoteText">
    <w:name w:val="footnote text"/>
    <w:basedOn w:val="Normal"/>
    <w:link w:val="FootnoteTextChar"/>
    <w:uiPriority w:val="99"/>
    <w:semiHidden/>
    <w:unhideWhenUsed/>
    <w:rsid w:val="00AB7DBD"/>
    <w:pPr>
      <w:spacing w:after="0"/>
    </w:pPr>
    <w:rPr>
      <w:sz w:val="20"/>
      <w:szCs w:val="20"/>
    </w:rPr>
  </w:style>
  <w:style w:type="character" w:customStyle="1" w:styleId="FootnoteTextChar">
    <w:name w:val="Footnote Text Char"/>
    <w:basedOn w:val="DefaultParagraphFont"/>
    <w:link w:val="FootnoteText"/>
    <w:uiPriority w:val="99"/>
    <w:semiHidden/>
    <w:rsid w:val="00AB7DBD"/>
    <w:rPr>
      <w:rFonts w:ascii="Times New Roman" w:hAnsi="Times New Roman"/>
      <w:sz w:val="20"/>
      <w:szCs w:val="20"/>
    </w:rPr>
  </w:style>
  <w:style w:type="character" w:styleId="FootnoteReference">
    <w:name w:val="footnote reference"/>
    <w:basedOn w:val="DefaultParagraphFont"/>
    <w:uiPriority w:val="99"/>
    <w:semiHidden/>
    <w:unhideWhenUsed/>
    <w:rsid w:val="00AB7DBD"/>
    <w:rPr>
      <w:vertAlign w:val="superscript"/>
    </w:rPr>
  </w:style>
  <w:style w:type="paragraph" w:styleId="ListParagraph">
    <w:name w:val="List Paragraph"/>
    <w:basedOn w:val="Normal"/>
    <w:uiPriority w:val="34"/>
    <w:qFormat/>
    <w:rsid w:val="00A3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AB46D-1B90-412A-AB43-393C95DB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Braun</dc:creator>
  <cp:lastModifiedBy>Whetton, Linda A</cp:lastModifiedBy>
  <cp:revision>2</cp:revision>
  <dcterms:created xsi:type="dcterms:W3CDTF">2016-12-06T17:12:00Z</dcterms:created>
  <dcterms:modified xsi:type="dcterms:W3CDTF">2016-12-06T17:12:00Z</dcterms:modified>
</cp:coreProperties>
</file>