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DDB18" w14:textId="51943876" w:rsidR="00F637F2" w:rsidRPr="000031A2" w:rsidRDefault="000031A2" w:rsidP="000031A2">
      <w:pPr>
        <w:pStyle w:val="Title"/>
        <w:rPr>
          <w:sz w:val="40"/>
        </w:rPr>
      </w:pPr>
      <w:r w:rsidRPr="000031A2">
        <w:rPr>
          <w:sz w:val="40"/>
        </w:rPr>
        <w:t xml:space="preserve">GCDAMP </w:t>
      </w:r>
      <w:r w:rsidR="002B6556">
        <w:rPr>
          <w:sz w:val="40"/>
        </w:rPr>
        <w:t>201</w:t>
      </w:r>
      <w:r w:rsidR="00870DE2">
        <w:rPr>
          <w:sz w:val="40"/>
        </w:rPr>
        <w:t>9</w:t>
      </w:r>
      <w:r w:rsidR="002B6556">
        <w:rPr>
          <w:sz w:val="40"/>
        </w:rPr>
        <w:t>-</w:t>
      </w:r>
      <w:r w:rsidR="00870DE2">
        <w:rPr>
          <w:sz w:val="40"/>
        </w:rPr>
        <w:t>20</w:t>
      </w:r>
      <w:r w:rsidR="002B6556">
        <w:rPr>
          <w:sz w:val="40"/>
        </w:rPr>
        <w:t xml:space="preserve"> </w:t>
      </w:r>
      <w:r w:rsidRPr="000031A2">
        <w:rPr>
          <w:sz w:val="40"/>
        </w:rPr>
        <w:t>‘Knowledge</w:t>
      </w:r>
      <w:r w:rsidR="00A26273">
        <w:rPr>
          <w:sz w:val="40"/>
        </w:rPr>
        <w:t xml:space="preserve"> Assessment</w:t>
      </w:r>
      <w:r w:rsidRPr="000031A2">
        <w:rPr>
          <w:sz w:val="40"/>
        </w:rPr>
        <w:t>’ Guidance</w:t>
      </w:r>
    </w:p>
    <w:p w14:paraId="0CCAD128" w14:textId="232611A2" w:rsidR="000031A2" w:rsidRPr="000031A2" w:rsidRDefault="002B6556" w:rsidP="000031A2">
      <w:pPr>
        <w:jc w:val="right"/>
        <w:rPr>
          <w:i/>
        </w:rPr>
      </w:pPr>
      <w:r>
        <w:rPr>
          <w:i/>
        </w:rPr>
        <w:t>Glen Canyon Dam Adaptive Management Program</w:t>
      </w:r>
      <w:r>
        <w:rPr>
          <w:i/>
        </w:rPr>
        <w:br/>
      </w:r>
      <w:r w:rsidR="00D75CE8">
        <w:rPr>
          <w:i/>
        </w:rPr>
        <w:t>Novem</w:t>
      </w:r>
      <w:r w:rsidR="00203AEA">
        <w:rPr>
          <w:i/>
        </w:rPr>
        <w:t xml:space="preserve">ber </w:t>
      </w:r>
      <w:r w:rsidR="002F7743">
        <w:rPr>
          <w:i/>
        </w:rPr>
        <w:t>13</w:t>
      </w:r>
      <w:r w:rsidR="00203AEA">
        <w:rPr>
          <w:i/>
        </w:rPr>
        <w:t>,</w:t>
      </w:r>
      <w:r w:rsidR="000031A2" w:rsidRPr="000031A2">
        <w:rPr>
          <w:i/>
        </w:rPr>
        <w:t xml:space="preserve"> 201</w:t>
      </w:r>
      <w:r w:rsidR="00870DE2">
        <w:rPr>
          <w:i/>
        </w:rPr>
        <w:t>9</w:t>
      </w:r>
    </w:p>
    <w:p w14:paraId="5BC6B02A" w14:textId="77777777" w:rsidR="003851AF" w:rsidRDefault="003851AF" w:rsidP="003851AF">
      <w:pPr>
        <w:pStyle w:val="Heading1"/>
      </w:pPr>
      <w:r>
        <w:t>Introduction to the Knowledge Assessment</w:t>
      </w:r>
    </w:p>
    <w:p w14:paraId="706123C8" w14:textId="732BCF29" w:rsidR="00957352" w:rsidRDefault="00957352" w:rsidP="00957352">
      <w:r>
        <w:t>This document presents the rationale and methods for a Knowledge Assessment (KA) for the Glen Canyon Dam Adaptive Management Program (GCDAMP)</w:t>
      </w:r>
      <w:r w:rsidR="00E76872">
        <w:t xml:space="preserve"> Technical Work Group</w:t>
      </w:r>
      <w:r w:rsidR="00D3418D">
        <w:t xml:space="preserve"> (TWG)</w:t>
      </w:r>
      <w:r>
        <w:t xml:space="preserve">. The </w:t>
      </w:r>
      <w:r w:rsidRPr="00947B02">
        <w:t xml:space="preserve">GCDAMP advises the </w:t>
      </w:r>
      <w:r>
        <w:t xml:space="preserve">Secretary of the Interior </w:t>
      </w:r>
      <w:r w:rsidR="00F5007F">
        <w:t xml:space="preserve">(Secretary) </w:t>
      </w:r>
      <w:r w:rsidRPr="00947B02">
        <w:t>on</w:t>
      </w:r>
      <w:r>
        <w:t>:</w:t>
      </w:r>
    </w:p>
    <w:p w14:paraId="59A69868" w14:textId="77777777" w:rsidR="00231C5C" w:rsidRDefault="00231C5C" w:rsidP="00957352">
      <w:pPr>
        <w:pStyle w:val="ListParagraph"/>
        <w:numPr>
          <w:ilvl w:val="0"/>
          <w:numId w:val="6"/>
        </w:numPr>
        <w:spacing w:after="0"/>
        <w:contextualSpacing w:val="0"/>
      </w:pPr>
      <w:r>
        <w:t>Meeting environmental and cultural commitments.</w:t>
      </w:r>
    </w:p>
    <w:p w14:paraId="6731A538" w14:textId="77777777" w:rsidR="00E76872" w:rsidRDefault="00E76872" w:rsidP="00957352">
      <w:pPr>
        <w:pStyle w:val="ListParagraph"/>
        <w:numPr>
          <w:ilvl w:val="0"/>
          <w:numId w:val="6"/>
        </w:numPr>
        <w:spacing w:after="0"/>
        <w:contextualSpacing w:val="0"/>
      </w:pPr>
      <w:r>
        <w:t>Long-term monitoring and t</w:t>
      </w:r>
      <w:r w:rsidR="00957352" w:rsidRPr="00DF6378">
        <w:t>he status of resource</w:t>
      </w:r>
      <w:r>
        <w:t>s.</w:t>
      </w:r>
    </w:p>
    <w:p w14:paraId="769C5492" w14:textId="77777777" w:rsidR="00957352" w:rsidRPr="00DF6378" w:rsidRDefault="00C905A6" w:rsidP="00957352">
      <w:pPr>
        <w:pStyle w:val="ListParagraph"/>
        <w:numPr>
          <w:ilvl w:val="0"/>
          <w:numId w:val="6"/>
        </w:numPr>
        <w:spacing w:after="0"/>
        <w:contextualSpacing w:val="0"/>
      </w:pPr>
      <w:r>
        <w:t>Studies undertaken to</w:t>
      </w:r>
      <w:r w:rsidR="00E76872">
        <w:t xml:space="preserve"> </w:t>
      </w:r>
      <w:r>
        <w:t>increase knowledge of</w:t>
      </w:r>
      <w:r w:rsidR="00E76872">
        <w:t xml:space="preserve"> the </w:t>
      </w:r>
      <w:r>
        <w:t xml:space="preserve">effects of </w:t>
      </w:r>
      <w:r w:rsidR="002235BC">
        <w:t xml:space="preserve">routine and experimental </w:t>
      </w:r>
      <w:r>
        <w:t>dam operations</w:t>
      </w:r>
      <w:r w:rsidR="00B630F1">
        <w:t xml:space="preserve">, </w:t>
      </w:r>
      <w:r>
        <w:t xml:space="preserve">other management actions, and </w:t>
      </w:r>
      <w:r w:rsidR="00B630F1">
        <w:t>environmental</w:t>
      </w:r>
      <w:r>
        <w:t xml:space="preserve"> factors on key resource values.</w:t>
      </w:r>
    </w:p>
    <w:p w14:paraId="66654F36" w14:textId="77777777" w:rsidR="00957352" w:rsidRDefault="00E76872" w:rsidP="00957352">
      <w:pPr>
        <w:pStyle w:val="ListParagraph"/>
        <w:numPr>
          <w:ilvl w:val="0"/>
          <w:numId w:val="6"/>
        </w:numPr>
        <w:contextualSpacing w:val="0"/>
      </w:pPr>
      <w:r>
        <w:t>Activities undertaken to comply with applicable laws</w:t>
      </w:r>
      <w:r w:rsidR="00B630F1">
        <w:t>.</w:t>
      </w:r>
    </w:p>
    <w:p w14:paraId="579CB34A" w14:textId="77777777" w:rsidR="00957352" w:rsidRDefault="00957352" w:rsidP="00957352">
      <w:r>
        <w:t>The GCDAMP carries out a substantial program of monitoring and research, and manages large bodies of data and knowledge, in order to advise the Secretary on these topics. The ultimate purpose of this advice is to sustain a robust program of adaptive management.</w:t>
      </w:r>
    </w:p>
    <w:p w14:paraId="31971492" w14:textId="2FF55F7A" w:rsidR="001257BF" w:rsidRDefault="00957352">
      <w:r>
        <w:t xml:space="preserve">The GCDAMP periodically undertakes a review of the knowledge on which it bases its advice to the Secretary. This knowledge and advice </w:t>
      </w:r>
      <w:r w:rsidR="00F5007F">
        <w:t xml:space="preserve">crucially help inform </w:t>
      </w:r>
      <w:r w:rsidR="001257BF">
        <w:t xml:space="preserve">the </w:t>
      </w:r>
      <w:r w:rsidR="00F5007F">
        <w:t xml:space="preserve">decisions </w:t>
      </w:r>
      <w:r w:rsidR="001257BF">
        <w:t xml:space="preserve">of </w:t>
      </w:r>
      <w:r w:rsidR="00F5007F">
        <w:t>the Secretary</w:t>
      </w:r>
      <w:r w:rsidR="001257BF">
        <w:t xml:space="preserve"> concerning adaptive management of dam operations and their impacts</w:t>
      </w:r>
      <w:r>
        <w:t xml:space="preserve">. The review </w:t>
      </w:r>
      <w:r w:rsidR="00541DAA">
        <w:t xml:space="preserve">– here termed a ‘knowledge assessment’ – </w:t>
      </w:r>
      <w:r>
        <w:t>assesses the knowledge, and the reliability or certainty of the knowledge</w:t>
      </w:r>
      <w:r w:rsidR="001257BF">
        <w:t>,</w:t>
      </w:r>
      <w:r>
        <w:t xml:space="preserve"> for three broad objectives</w:t>
      </w:r>
      <w:r w:rsidR="00541DAA">
        <w:t>, to</w:t>
      </w:r>
      <w:r>
        <w:t>: (1) summarize what is known; (2) assess ongoing needs for monitoring to sustain crucial knowledge; and (3) identify crucial gaps and weaknesses in this k</w:t>
      </w:r>
      <w:r w:rsidR="002235BC">
        <w:t xml:space="preserve">nowledge that require attention. </w:t>
      </w:r>
    </w:p>
    <w:p w14:paraId="34068D71" w14:textId="77777777" w:rsidR="004D1A2B" w:rsidRDefault="002D5448">
      <w:r>
        <w:t xml:space="preserve">This </w:t>
      </w:r>
      <w:r w:rsidR="00D3418D">
        <w:t xml:space="preserve">KA </w:t>
      </w:r>
      <w:r>
        <w:t xml:space="preserve">is </w:t>
      </w:r>
      <w:r w:rsidR="00D3418D">
        <w:t xml:space="preserve">intended </w:t>
      </w:r>
      <w:r w:rsidR="00217F94">
        <w:t xml:space="preserve">as </w:t>
      </w:r>
      <w:r w:rsidR="00EC2BF6">
        <w:t xml:space="preserve">a </w:t>
      </w:r>
      <w:r w:rsidR="00B1207A">
        <w:t xml:space="preserve">planning </w:t>
      </w:r>
      <w:r w:rsidR="00217F94">
        <w:t xml:space="preserve">tool </w:t>
      </w:r>
      <w:r w:rsidR="00D3418D">
        <w:t xml:space="preserve">to </w:t>
      </w:r>
      <w:r w:rsidR="00217F94">
        <w:t xml:space="preserve">help </w:t>
      </w:r>
      <w:r w:rsidR="00D3418D">
        <w:t xml:space="preserve">the TWG with developing </w:t>
      </w:r>
      <w:r w:rsidR="008E2F52">
        <w:t>a recommendation to the Adaptive Ma</w:t>
      </w:r>
      <w:r w:rsidR="00C251AC">
        <w:t xml:space="preserve">nagement Work Group for </w:t>
      </w:r>
      <w:r w:rsidR="0019687F">
        <w:t>the FY21-23 Budget</w:t>
      </w:r>
      <w:r w:rsidR="00134F9E">
        <w:t xml:space="preserve"> and Work Plan</w:t>
      </w:r>
      <w:r w:rsidR="00217F94">
        <w:t>.</w:t>
      </w:r>
      <w:r w:rsidR="0019687F">
        <w:t xml:space="preserve">  </w:t>
      </w:r>
      <w:r w:rsidR="00E33898">
        <w:t xml:space="preserve">It is </w:t>
      </w:r>
      <w:r w:rsidR="0060496F">
        <w:t>a</w:t>
      </w:r>
      <w:r w:rsidR="00E33898">
        <w:t xml:space="preserve"> part of a broader process </w:t>
      </w:r>
      <w:r w:rsidR="00EC2BF6">
        <w:t xml:space="preserve">of information gathering and assessment used </w:t>
      </w:r>
      <w:r w:rsidR="004D2416">
        <w:t xml:space="preserve">for the GCDAMP </w:t>
      </w:r>
      <w:r w:rsidR="00C251AC">
        <w:t>that also includes</w:t>
      </w:r>
      <w:r w:rsidR="00CA2226">
        <w:t xml:space="preserve"> but is not limited to</w:t>
      </w:r>
      <w:r w:rsidR="00C251AC">
        <w:t xml:space="preserve"> </w:t>
      </w:r>
      <w:r w:rsidR="003E5429">
        <w:t>formal consultations</w:t>
      </w:r>
      <w:r w:rsidR="00672D0E">
        <w:t xml:space="preserve"> (e.g., tribal </w:t>
      </w:r>
      <w:r w:rsidR="00B1207A">
        <w:t>government</w:t>
      </w:r>
      <w:r w:rsidR="00672D0E">
        <w:t xml:space="preserve"> to federal government consultations)</w:t>
      </w:r>
      <w:r w:rsidR="003E5429">
        <w:t>,</w:t>
      </w:r>
      <w:r w:rsidR="009E1FBD">
        <w:t xml:space="preserve"> </w:t>
      </w:r>
      <w:r w:rsidR="00C251AC">
        <w:t xml:space="preserve">Annual Reporting </w:t>
      </w:r>
      <w:r w:rsidR="009E1FBD">
        <w:t>meeting</w:t>
      </w:r>
      <w:r w:rsidR="003E5429">
        <w:t>s</w:t>
      </w:r>
      <w:r w:rsidR="009E1FBD">
        <w:t>, T</w:t>
      </w:r>
      <w:r w:rsidR="00195B6E">
        <w:t>WG m</w:t>
      </w:r>
      <w:r w:rsidR="00C251AC">
        <w:t>eeting</w:t>
      </w:r>
      <w:r w:rsidR="00195B6E">
        <w:t>s</w:t>
      </w:r>
      <w:r w:rsidR="009E1FBD">
        <w:t>,</w:t>
      </w:r>
      <w:r w:rsidR="00C251AC">
        <w:t xml:space="preserve"> and </w:t>
      </w:r>
      <w:r w:rsidR="004D2416">
        <w:t xml:space="preserve">TWG </w:t>
      </w:r>
      <w:r w:rsidR="00C251AC">
        <w:t>ad hoc group</w:t>
      </w:r>
      <w:r w:rsidR="00CA2226">
        <w:t xml:space="preserve"> meetings</w:t>
      </w:r>
      <w:r w:rsidR="00170B4F">
        <w:t xml:space="preserve">.  For example, </w:t>
      </w:r>
      <w:r w:rsidR="00C251AC">
        <w:t>th</w:t>
      </w:r>
      <w:r w:rsidR="00170B4F">
        <w:t>e outcomes of</w:t>
      </w:r>
      <w:r w:rsidR="000D64D8">
        <w:t xml:space="preserve"> this KA are intended to be used by the </w:t>
      </w:r>
      <w:r w:rsidR="00C251AC">
        <w:t>Budget Ad Hoc Group</w:t>
      </w:r>
      <w:r w:rsidR="000D64D8">
        <w:t xml:space="preserve"> to </w:t>
      </w:r>
      <w:r w:rsidR="00203A7C">
        <w:t xml:space="preserve">help </w:t>
      </w:r>
      <w:r w:rsidR="000D64D8">
        <w:t xml:space="preserve">organize </w:t>
      </w:r>
      <w:r w:rsidR="002477EA">
        <w:t>discussions</w:t>
      </w:r>
      <w:r w:rsidR="000D64D8">
        <w:t xml:space="preserve"> of potential work activities to be </w:t>
      </w:r>
      <w:r w:rsidR="002477EA">
        <w:t xml:space="preserve">considered for </w:t>
      </w:r>
      <w:r w:rsidR="000D64D8">
        <w:t xml:space="preserve">the FY21-23 </w:t>
      </w:r>
      <w:r w:rsidR="00134F9E">
        <w:t xml:space="preserve">Budget and </w:t>
      </w:r>
      <w:r w:rsidR="000D64D8">
        <w:t>Work Plan</w:t>
      </w:r>
      <w:r w:rsidR="003E600D">
        <w:t xml:space="preserve">.  </w:t>
      </w:r>
      <w:r w:rsidR="00926FD5">
        <w:t>Because t</w:t>
      </w:r>
      <w:r w:rsidR="00401A54">
        <w:t>his</w:t>
      </w:r>
      <w:r w:rsidR="00B32773">
        <w:t xml:space="preserve"> document </w:t>
      </w:r>
      <w:r w:rsidR="00E706CE">
        <w:t xml:space="preserve">describes </w:t>
      </w:r>
      <w:r w:rsidR="00874A6C">
        <w:t xml:space="preserve">only </w:t>
      </w:r>
      <w:r w:rsidR="0067785C">
        <w:t>a</w:t>
      </w:r>
      <w:r w:rsidR="00874A6C">
        <w:t xml:space="preserve"> </w:t>
      </w:r>
      <w:r w:rsidR="00081768">
        <w:t xml:space="preserve">western scientific </w:t>
      </w:r>
      <w:r w:rsidR="00874A6C">
        <w:t xml:space="preserve">knowledge </w:t>
      </w:r>
      <w:r w:rsidR="00EB64FA">
        <w:t xml:space="preserve">assessment </w:t>
      </w:r>
      <w:r w:rsidR="00081768">
        <w:t>approach</w:t>
      </w:r>
      <w:r w:rsidR="00E706CE">
        <w:t xml:space="preserve"> and not </w:t>
      </w:r>
      <w:r w:rsidR="0067785C">
        <w:t>a</w:t>
      </w:r>
      <w:r w:rsidR="000B7CD5">
        <w:t xml:space="preserve"> </w:t>
      </w:r>
      <w:r w:rsidR="00E706CE">
        <w:t xml:space="preserve">traditional </w:t>
      </w:r>
      <w:r w:rsidR="009956FF">
        <w:t xml:space="preserve">ecological </w:t>
      </w:r>
      <w:r w:rsidR="00DB07A3">
        <w:t>knowledge</w:t>
      </w:r>
      <w:r w:rsidR="005E0338">
        <w:t xml:space="preserve"> (TEK)</w:t>
      </w:r>
      <w:r w:rsidR="00DB07A3">
        <w:t xml:space="preserve"> </w:t>
      </w:r>
      <w:r w:rsidR="00E706CE">
        <w:t xml:space="preserve">assessment </w:t>
      </w:r>
      <w:r w:rsidR="00DB07A3">
        <w:t>approach</w:t>
      </w:r>
      <w:r w:rsidR="00926FD5">
        <w:t xml:space="preserve">, </w:t>
      </w:r>
      <w:r w:rsidR="00B6759C">
        <w:t>th</w:t>
      </w:r>
      <w:r w:rsidR="00DC51F2">
        <w:t xml:space="preserve">e product from this </w:t>
      </w:r>
      <w:r w:rsidR="00913B67">
        <w:t xml:space="preserve">effort is only a part of a </w:t>
      </w:r>
      <w:r w:rsidR="003C200D">
        <w:t>broader</w:t>
      </w:r>
      <w:r w:rsidR="00913B67">
        <w:t xml:space="preserve"> </w:t>
      </w:r>
      <w:r w:rsidR="005E0D16">
        <w:t>assessment of knowledge</w:t>
      </w:r>
      <w:r w:rsidR="00E706CE">
        <w:t>.</w:t>
      </w:r>
      <w:r w:rsidR="009956FF">
        <w:t xml:space="preserve">  A </w:t>
      </w:r>
      <w:r w:rsidR="005E0338">
        <w:t>TEK</w:t>
      </w:r>
      <w:r w:rsidR="0070668B">
        <w:t xml:space="preserve"> assessment approach is</w:t>
      </w:r>
      <w:r w:rsidR="00BA595A">
        <w:t xml:space="preserve"> </w:t>
      </w:r>
      <w:r w:rsidR="00134F1A">
        <w:t>expected to be piloted this year</w:t>
      </w:r>
      <w:r w:rsidR="0070668B">
        <w:t xml:space="preserve"> </w:t>
      </w:r>
      <w:r w:rsidR="00EF452D">
        <w:t xml:space="preserve">so it is important to </w:t>
      </w:r>
      <w:r w:rsidR="003C200D">
        <w:t xml:space="preserve">again </w:t>
      </w:r>
      <w:r w:rsidR="00EF452D">
        <w:t xml:space="preserve">note that this western scientific knowledge assessment is only part of a broader assessment of knowledge.  </w:t>
      </w:r>
    </w:p>
    <w:p w14:paraId="5DF94DDD" w14:textId="38230F16" w:rsidR="0082336A" w:rsidRDefault="00411FD0">
      <w:r>
        <w:t>S</w:t>
      </w:r>
      <w:r w:rsidR="00F377CB">
        <w:t xml:space="preserve">ubject matter experts are expected to </w:t>
      </w:r>
      <w:r w:rsidR="00184E9A">
        <w:t xml:space="preserve">lead much of the KA process </w:t>
      </w:r>
      <w:r w:rsidR="00713E6D">
        <w:t xml:space="preserve">described in this guidance document </w:t>
      </w:r>
      <w:r w:rsidR="00184E9A">
        <w:t xml:space="preserve">and to </w:t>
      </w:r>
      <w:r w:rsidR="00C65311">
        <w:t xml:space="preserve">generate </w:t>
      </w:r>
      <w:r w:rsidR="000062EF">
        <w:t xml:space="preserve">most of </w:t>
      </w:r>
      <w:r w:rsidR="00184E9A">
        <w:t xml:space="preserve">its </w:t>
      </w:r>
      <w:r w:rsidR="00C65311">
        <w:t>information</w:t>
      </w:r>
      <w:r w:rsidR="001A20AC">
        <w:t>.  Ot</w:t>
      </w:r>
      <w:r w:rsidR="00EA3784">
        <w:t>hers</w:t>
      </w:r>
      <w:r w:rsidR="003727DF">
        <w:t>, though,</w:t>
      </w:r>
      <w:r w:rsidR="00EA3784">
        <w:t xml:space="preserve"> are encouraged to participate </w:t>
      </w:r>
      <w:r w:rsidR="0077636D">
        <w:t xml:space="preserve">in the process </w:t>
      </w:r>
      <w:r w:rsidR="00EA3784">
        <w:t xml:space="preserve">because </w:t>
      </w:r>
      <w:r w:rsidR="00F46B3C">
        <w:t xml:space="preserve">participation is itself </w:t>
      </w:r>
      <w:r w:rsidR="00F04D35">
        <w:t xml:space="preserve">a pathway for </w:t>
      </w:r>
      <w:r w:rsidR="00D754F9">
        <w:t xml:space="preserve">gaining </w:t>
      </w:r>
      <w:r w:rsidR="00763167">
        <w:t xml:space="preserve">awareness and </w:t>
      </w:r>
      <w:r w:rsidR="00D754F9">
        <w:t>knowledge</w:t>
      </w:r>
      <w:r w:rsidR="009950C2">
        <w:t>.</w:t>
      </w:r>
      <w:r w:rsidR="0077636D">
        <w:t xml:space="preserve">  </w:t>
      </w:r>
    </w:p>
    <w:p w14:paraId="515FA793" w14:textId="33910854" w:rsidR="002D5448" w:rsidRDefault="00F50DB1">
      <w:r>
        <w:t>Dates and times for meetings and calls will be posted on the gcdamp.com WIKI to facilitate</w:t>
      </w:r>
      <w:r w:rsidR="00DA60D7">
        <w:t xml:space="preserve"> broad</w:t>
      </w:r>
      <w:r>
        <w:t xml:space="preserve"> participation</w:t>
      </w:r>
      <w:r w:rsidR="003727DF">
        <w:t>.  This part of the KA is expected to be completed by the January Annual Reporting</w:t>
      </w:r>
      <w:r w:rsidR="00B46B9D">
        <w:t xml:space="preserve"> Meeting</w:t>
      </w:r>
      <w:r w:rsidR="00D5529E">
        <w:t xml:space="preserve"> but to accomplish this work by then</w:t>
      </w:r>
      <w:r w:rsidR="006D38EC">
        <w:t>,</w:t>
      </w:r>
      <w:r w:rsidR="003727DF">
        <w:t xml:space="preserve"> </w:t>
      </w:r>
      <w:r w:rsidR="00226EDD">
        <w:t>resource team</w:t>
      </w:r>
      <w:r w:rsidR="00D5529E">
        <w:t xml:space="preserve"> leads may not have the flexibility to schedule meeting</w:t>
      </w:r>
      <w:r w:rsidR="00BD3997">
        <w:t>s and calls to accommodate every interested participant</w:t>
      </w:r>
      <w:r w:rsidR="0053382B">
        <w:t xml:space="preserve">.  </w:t>
      </w:r>
    </w:p>
    <w:p w14:paraId="0BFCF418" w14:textId="77777777" w:rsidR="002235BC" w:rsidRDefault="002235BC" w:rsidP="002235BC">
      <w:pPr>
        <w:pStyle w:val="Heading1"/>
      </w:pPr>
      <w:r>
        <w:t>Knowledge Assessment Structure</w:t>
      </w:r>
    </w:p>
    <w:p w14:paraId="022CE20A" w14:textId="77777777" w:rsidR="00A6075F" w:rsidRDefault="00947E78">
      <w:r>
        <w:t>Th</w:t>
      </w:r>
      <w:r w:rsidR="00E02D58">
        <w:t xml:space="preserve">e </w:t>
      </w:r>
      <w:r w:rsidR="001257BF">
        <w:t>present Knowledge</w:t>
      </w:r>
      <w:r>
        <w:t xml:space="preserve"> </w:t>
      </w:r>
      <w:r w:rsidR="001257BF">
        <w:t>A</w:t>
      </w:r>
      <w:r w:rsidR="00231C5C">
        <w:t xml:space="preserve">ssessment </w:t>
      </w:r>
      <w:r w:rsidR="009E0293">
        <w:t xml:space="preserve">seeks </w:t>
      </w:r>
      <w:r w:rsidR="00635181">
        <w:t xml:space="preserve">to </w:t>
      </w:r>
      <w:r w:rsidR="009E0293">
        <w:t xml:space="preserve">present its findings in the form of </w:t>
      </w:r>
      <w:r>
        <w:t xml:space="preserve">a </w:t>
      </w:r>
      <w:r w:rsidR="00635181">
        <w:t>set</w:t>
      </w:r>
      <w:r>
        <w:t xml:space="preserve"> of </w:t>
      </w:r>
      <w:r w:rsidR="00E02D58">
        <w:t xml:space="preserve">simple </w:t>
      </w:r>
      <w:r>
        <w:t>tables</w:t>
      </w:r>
      <w:r w:rsidR="009E0293">
        <w:t xml:space="preserve"> that facilitate both the compilation and communication of findings. </w:t>
      </w:r>
      <w:r w:rsidR="00071A33">
        <w:t>A set of</w:t>
      </w:r>
      <w:r w:rsidR="00E02D58">
        <w:t xml:space="preserve"> easily understood</w:t>
      </w:r>
      <w:r w:rsidR="00071A33">
        <w:t>, graphical</w:t>
      </w:r>
      <w:r w:rsidR="00E02D58">
        <w:t xml:space="preserve"> symbols </w:t>
      </w:r>
      <w:r w:rsidR="00071A33">
        <w:t xml:space="preserve">will be used to summarize the findings to further simplify their communication. </w:t>
      </w:r>
      <w:r w:rsidR="00E02D58">
        <w:t>Th</w:t>
      </w:r>
      <w:r w:rsidR="00A6075F">
        <w:t>e</w:t>
      </w:r>
      <w:r w:rsidR="00E02D58">
        <w:t xml:space="preserve"> </w:t>
      </w:r>
      <w:r w:rsidR="00071A33">
        <w:t xml:space="preserve">approach presented below represents </w:t>
      </w:r>
      <w:r w:rsidR="00870DE2">
        <w:t xml:space="preserve">the second iteration of </w:t>
      </w:r>
      <w:r w:rsidR="00E02D58">
        <w:t>a trial</w:t>
      </w:r>
      <w:r w:rsidR="003A4C6E">
        <w:t xml:space="preserve"> approach, </w:t>
      </w:r>
      <w:r w:rsidR="00A6075F">
        <w:t xml:space="preserve">toward establishing </w:t>
      </w:r>
      <w:r w:rsidR="00E02D58">
        <w:t xml:space="preserve">a </w:t>
      </w:r>
      <w:r w:rsidR="003A4C6E">
        <w:t>standard</w:t>
      </w:r>
      <w:r w:rsidR="00E02D58">
        <w:t xml:space="preserve"> </w:t>
      </w:r>
      <w:r w:rsidR="00A6075F">
        <w:t xml:space="preserve">assessment </w:t>
      </w:r>
      <w:r w:rsidR="00E02D58">
        <w:t>proc</w:t>
      </w:r>
      <w:r w:rsidR="00A6075F">
        <w:t xml:space="preserve">ess </w:t>
      </w:r>
      <w:r w:rsidR="003A4C6E">
        <w:t>that can be repeated with minimal effort</w:t>
      </w:r>
      <w:r w:rsidR="00A6075F">
        <w:t>.</w:t>
      </w:r>
      <w:r w:rsidR="00870DE2">
        <w:t xml:space="preserve"> Lessons learned from the 2017 Knowledge Assessment have been considered herein.  </w:t>
      </w:r>
    </w:p>
    <w:p w14:paraId="0EE83848" w14:textId="77777777" w:rsidR="00957352" w:rsidRDefault="00231C5C" w:rsidP="00957352">
      <w:r>
        <w:t xml:space="preserve">The </w:t>
      </w:r>
      <w:r w:rsidRPr="00952FD7">
        <w:t>Glen Canyon Dam Long-Term E</w:t>
      </w:r>
      <w:r>
        <w:t xml:space="preserve">xperimental and Management Plan, </w:t>
      </w:r>
      <w:r w:rsidRPr="00952FD7">
        <w:t>Final Environmental Impact Statement</w:t>
      </w:r>
      <w:r>
        <w:t xml:space="preserve"> (LTEMP </w:t>
      </w:r>
      <w:r w:rsidR="00B04420">
        <w:t>F</w:t>
      </w:r>
      <w:r>
        <w:t>EIS) (2016)</w:t>
      </w:r>
      <w:r w:rsidR="00957352">
        <w:t xml:space="preserve"> focuses on the following resource topic</w:t>
      </w:r>
      <w:r w:rsidR="00FE51D8">
        <w:t>s (shown in alphabetical order)</w:t>
      </w:r>
      <w:r w:rsidR="00957352">
        <w:t>:</w:t>
      </w:r>
    </w:p>
    <w:p w14:paraId="7DC3E0CC" w14:textId="77777777" w:rsidR="00BF6E5B" w:rsidRDefault="00BF6E5B" w:rsidP="00957352">
      <w:pPr>
        <w:pStyle w:val="ListParagraph"/>
        <w:numPr>
          <w:ilvl w:val="0"/>
          <w:numId w:val="8"/>
        </w:numPr>
        <w:spacing w:after="0"/>
        <w:contextualSpacing w:val="0"/>
        <w:sectPr w:rsidR="00BF6E5B" w:rsidSect="009221BB">
          <w:footerReference w:type="default" r:id="rId11"/>
          <w:type w:val="continuous"/>
          <w:pgSz w:w="15840" w:h="12240" w:orient="landscape"/>
          <w:pgMar w:top="1152" w:right="1152" w:bottom="1152" w:left="1152" w:header="720" w:footer="720" w:gutter="0"/>
          <w:cols w:space="720"/>
          <w:docGrid w:linePitch="360"/>
        </w:sectPr>
      </w:pPr>
    </w:p>
    <w:p w14:paraId="5E93DD41" w14:textId="77777777" w:rsidR="00957352" w:rsidRDefault="00957352" w:rsidP="00957352">
      <w:pPr>
        <w:pStyle w:val="ListParagraph"/>
        <w:numPr>
          <w:ilvl w:val="0"/>
          <w:numId w:val="8"/>
        </w:numPr>
        <w:spacing w:after="0"/>
        <w:contextualSpacing w:val="0"/>
      </w:pPr>
      <w:r>
        <w:t>Air quality</w:t>
      </w:r>
    </w:p>
    <w:p w14:paraId="699BFD39" w14:textId="77777777" w:rsidR="00957352" w:rsidRPr="00952FD7" w:rsidRDefault="00957352" w:rsidP="00957352">
      <w:pPr>
        <w:pStyle w:val="ListParagraph"/>
        <w:numPr>
          <w:ilvl w:val="0"/>
          <w:numId w:val="8"/>
        </w:numPr>
        <w:spacing w:after="0"/>
        <w:contextualSpacing w:val="0"/>
      </w:pPr>
      <w:r w:rsidRPr="00952FD7">
        <w:t>Aquatic food base</w:t>
      </w:r>
    </w:p>
    <w:p w14:paraId="204E6227" w14:textId="77777777" w:rsidR="00957352" w:rsidRDefault="00957352" w:rsidP="00957352">
      <w:pPr>
        <w:pStyle w:val="ListParagraph"/>
        <w:numPr>
          <w:ilvl w:val="0"/>
          <w:numId w:val="8"/>
        </w:numPr>
        <w:spacing w:after="0"/>
        <w:contextualSpacing w:val="0"/>
      </w:pPr>
      <w:r w:rsidRPr="00952FD7">
        <w:rPr>
          <w:rFonts w:cs="Times New Roman"/>
          <w:szCs w:val="24"/>
        </w:rPr>
        <w:t>Archaeological and cultural resources</w:t>
      </w:r>
    </w:p>
    <w:p w14:paraId="7A1841F7" w14:textId="77777777" w:rsidR="00957352" w:rsidRPr="00952FD7" w:rsidRDefault="00957352" w:rsidP="00957352">
      <w:pPr>
        <w:pStyle w:val="ListParagraph"/>
        <w:numPr>
          <w:ilvl w:val="0"/>
          <w:numId w:val="8"/>
        </w:numPr>
        <w:spacing w:after="0"/>
        <w:contextualSpacing w:val="0"/>
        <w:rPr>
          <w:rFonts w:cs="Times New Roman"/>
          <w:szCs w:val="24"/>
        </w:rPr>
      </w:pPr>
      <w:r>
        <w:t>Climate change</w:t>
      </w:r>
    </w:p>
    <w:p w14:paraId="0FA78BBB" w14:textId="77777777" w:rsidR="00957352" w:rsidRPr="00952FD7" w:rsidRDefault="00957352" w:rsidP="00957352">
      <w:pPr>
        <w:pStyle w:val="ListParagraph"/>
        <w:numPr>
          <w:ilvl w:val="0"/>
          <w:numId w:val="8"/>
        </w:numPr>
        <w:spacing w:after="0"/>
        <w:contextualSpacing w:val="0"/>
      </w:pPr>
      <w:r>
        <w:t>Humpback chub</w:t>
      </w:r>
    </w:p>
    <w:p w14:paraId="29A84719" w14:textId="77777777" w:rsidR="00957352" w:rsidRDefault="00957352" w:rsidP="00957352">
      <w:pPr>
        <w:pStyle w:val="ListParagraph"/>
        <w:numPr>
          <w:ilvl w:val="0"/>
          <w:numId w:val="8"/>
        </w:numPr>
        <w:spacing w:after="0"/>
        <w:contextualSpacing w:val="0"/>
      </w:pPr>
      <w:r w:rsidRPr="00952FD7">
        <w:rPr>
          <w:rFonts w:cs="Times New Roman"/>
          <w:szCs w:val="24"/>
        </w:rPr>
        <w:t>Hydropower and energy</w:t>
      </w:r>
    </w:p>
    <w:p w14:paraId="37BC4C78" w14:textId="77777777" w:rsidR="00957352" w:rsidRPr="00952FD7" w:rsidRDefault="00957352" w:rsidP="00957352">
      <w:pPr>
        <w:pStyle w:val="ListParagraph"/>
        <w:numPr>
          <w:ilvl w:val="0"/>
          <w:numId w:val="8"/>
        </w:numPr>
        <w:spacing w:after="0"/>
        <w:contextualSpacing w:val="0"/>
      </w:pPr>
      <w:r>
        <w:t>Invasive fish species</w:t>
      </w:r>
    </w:p>
    <w:p w14:paraId="4DCE6EE2" w14:textId="77777777" w:rsidR="00957352" w:rsidRPr="00952FD7" w:rsidRDefault="00957352" w:rsidP="00957352">
      <w:pPr>
        <w:pStyle w:val="ListParagraph"/>
        <w:numPr>
          <w:ilvl w:val="0"/>
          <w:numId w:val="8"/>
        </w:numPr>
        <w:spacing w:after="0"/>
        <w:contextualSpacing w:val="0"/>
      </w:pPr>
      <w:r>
        <w:t>Other native fish species</w:t>
      </w:r>
    </w:p>
    <w:p w14:paraId="0380C566" w14:textId="77777777" w:rsidR="00957352" w:rsidRPr="00952FD7" w:rsidRDefault="00957352" w:rsidP="00957352">
      <w:pPr>
        <w:pStyle w:val="ListParagraph"/>
        <w:numPr>
          <w:ilvl w:val="0"/>
          <w:numId w:val="8"/>
        </w:numPr>
        <w:spacing w:after="0"/>
        <w:contextualSpacing w:val="0"/>
      </w:pPr>
      <w:r>
        <w:t>Rainbow trout fishery</w:t>
      </w:r>
    </w:p>
    <w:p w14:paraId="7E217FBD" w14:textId="77777777" w:rsidR="00957352" w:rsidRPr="00952FD7" w:rsidRDefault="00957352" w:rsidP="00957352">
      <w:pPr>
        <w:pStyle w:val="ListParagraph"/>
        <w:numPr>
          <w:ilvl w:val="0"/>
          <w:numId w:val="8"/>
        </w:numPr>
        <w:spacing w:after="0"/>
        <w:contextualSpacing w:val="0"/>
      </w:pPr>
      <w:r>
        <w:t>Recreational experience</w:t>
      </w:r>
    </w:p>
    <w:p w14:paraId="662E83DF" w14:textId="77777777" w:rsidR="00957352" w:rsidRPr="00952FD7" w:rsidRDefault="00957352" w:rsidP="00957352">
      <w:pPr>
        <w:pStyle w:val="ListParagraph"/>
        <w:numPr>
          <w:ilvl w:val="0"/>
          <w:numId w:val="8"/>
        </w:numPr>
        <w:spacing w:after="0"/>
        <w:contextualSpacing w:val="0"/>
      </w:pPr>
      <w:r w:rsidRPr="00952FD7">
        <w:t>Riparian</w:t>
      </w:r>
      <w:r>
        <w:t xml:space="preserve"> vegetation</w:t>
      </w:r>
    </w:p>
    <w:p w14:paraId="2185F8ED" w14:textId="77777777" w:rsidR="00957352" w:rsidRPr="00952FD7" w:rsidRDefault="00957352" w:rsidP="00957352">
      <w:pPr>
        <w:pStyle w:val="ListParagraph"/>
        <w:numPr>
          <w:ilvl w:val="0"/>
          <w:numId w:val="8"/>
        </w:numPr>
        <w:spacing w:after="0"/>
        <w:contextualSpacing w:val="0"/>
      </w:pPr>
      <w:r>
        <w:t>Sediment</w:t>
      </w:r>
    </w:p>
    <w:p w14:paraId="2BAB59B1" w14:textId="77777777" w:rsidR="00957352" w:rsidRDefault="00957352" w:rsidP="00957352">
      <w:pPr>
        <w:pStyle w:val="ListParagraph"/>
        <w:numPr>
          <w:ilvl w:val="0"/>
          <w:numId w:val="8"/>
        </w:numPr>
        <w:spacing w:after="0"/>
        <w:contextualSpacing w:val="0"/>
      </w:pPr>
      <w:r w:rsidRPr="00952FD7">
        <w:rPr>
          <w:rFonts w:cs="Times New Roman"/>
          <w:szCs w:val="24"/>
        </w:rPr>
        <w:t>Tribal resources</w:t>
      </w:r>
    </w:p>
    <w:p w14:paraId="679C9A9D" w14:textId="77777777" w:rsidR="00957352" w:rsidRDefault="00957352" w:rsidP="00957352">
      <w:pPr>
        <w:pStyle w:val="ListParagraph"/>
        <w:numPr>
          <w:ilvl w:val="0"/>
          <w:numId w:val="8"/>
        </w:numPr>
        <w:spacing w:after="0"/>
        <w:contextualSpacing w:val="0"/>
      </w:pPr>
      <w:r>
        <w:t>Water delivery</w:t>
      </w:r>
    </w:p>
    <w:p w14:paraId="7DE46587" w14:textId="77777777" w:rsidR="00957352" w:rsidRDefault="00957352" w:rsidP="00957352">
      <w:pPr>
        <w:pStyle w:val="ListParagraph"/>
        <w:numPr>
          <w:ilvl w:val="0"/>
          <w:numId w:val="8"/>
        </w:numPr>
        <w:spacing w:after="0"/>
        <w:contextualSpacing w:val="0"/>
      </w:pPr>
      <w:r>
        <w:t>W</w:t>
      </w:r>
      <w:r w:rsidRPr="00952FD7">
        <w:rPr>
          <w:rFonts w:cs="Times New Roman"/>
          <w:szCs w:val="24"/>
        </w:rPr>
        <w:t>ater quality</w:t>
      </w:r>
    </w:p>
    <w:p w14:paraId="3E17ECD8" w14:textId="77777777" w:rsidR="00957352" w:rsidRDefault="00957352" w:rsidP="00957352">
      <w:pPr>
        <w:pStyle w:val="ListParagraph"/>
        <w:numPr>
          <w:ilvl w:val="0"/>
          <w:numId w:val="8"/>
        </w:numPr>
        <w:contextualSpacing w:val="0"/>
      </w:pPr>
      <w:r>
        <w:t>Wildlife</w:t>
      </w:r>
    </w:p>
    <w:p w14:paraId="36E5FD9A" w14:textId="77777777" w:rsidR="00BF6E5B" w:rsidRDefault="00BF6E5B" w:rsidP="00957352">
      <w:pPr>
        <w:sectPr w:rsidR="00BF6E5B" w:rsidSect="009221BB">
          <w:type w:val="continuous"/>
          <w:pgSz w:w="15840" w:h="12240" w:orient="landscape"/>
          <w:pgMar w:top="1152" w:right="1152" w:bottom="1152" w:left="1152" w:header="720" w:footer="720" w:gutter="0"/>
          <w:cols w:num="3" w:space="720"/>
          <w:docGrid w:linePitch="360"/>
        </w:sectPr>
      </w:pPr>
    </w:p>
    <w:p w14:paraId="303EBC56" w14:textId="77777777" w:rsidR="00635181" w:rsidRDefault="00635181" w:rsidP="008632F8">
      <w:pPr>
        <w:spacing w:after="0"/>
      </w:pPr>
    </w:p>
    <w:p w14:paraId="71CBFC57" w14:textId="0AEBDB67" w:rsidR="00957352" w:rsidRDefault="00957352" w:rsidP="00957352">
      <w:r>
        <w:t xml:space="preserve">The </w:t>
      </w:r>
      <w:r w:rsidR="00C35036">
        <w:t xml:space="preserve">2017 </w:t>
      </w:r>
      <w:r>
        <w:t>Knowledge Assessment focus</w:t>
      </w:r>
      <w:r w:rsidR="00C35036">
        <w:t>ed</w:t>
      </w:r>
      <w:r>
        <w:t xml:space="preserve"> on a subset of the topics</w:t>
      </w:r>
      <w:r w:rsidR="00D56F88">
        <w:t xml:space="preserve"> in this master list</w:t>
      </w:r>
      <w:r>
        <w:t xml:space="preserve">, </w:t>
      </w:r>
      <w:r w:rsidR="00FE51D8">
        <w:t>consisting of</w:t>
      </w:r>
      <w:r w:rsidR="00231C5C">
        <w:t xml:space="preserve"> the following </w:t>
      </w:r>
      <w:r>
        <w:t xml:space="preserve">eleven </w:t>
      </w:r>
      <w:r w:rsidR="00D56F88">
        <w:t xml:space="preserve">priority resource </w:t>
      </w:r>
      <w:r>
        <w:t>topics (</w:t>
      </w:r>
      <w:r w:rsidR="00D56F88">
        <w:t>shown</w:t>
      </w:r>
      <w:r w:rsidR="00FE51D8">
        <w:t xml:space="preserve"> </w:t>
      </w:r>
      <w:r>
        <w:t>in alphabetical order):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320"/>
      </w:tblGrid>
      <w:tr w:rsidR="00DF7C5D" w14:paraId="3DE38E8A" w14:textId="77777777" w:rsidTr="008632F8">
        <w:trPr>
          <w:jc w:val="center"/>
        </w:trPr>
        <w:tc>
          <w:tcPr>
            <w:tcW w:w="4320" w:type="dxa"/>
          </w:tcPr>
          <w:p w14:paraId="399C9249" w14:textId="77777777" w:rsidR="00DF7C5D" w:rsidRPr="008632F8" w:rsidRDefault="00DF7C5D" w:rsidP="008632F8">
            <w:pPr>
              <w:pStyle w:val="ListParagraph"/>
              <w:numPr>
                <w:ilvl w:val="0"/>
                <w:numId w:val="13"/>
              </w:numPr>
              <w:ind w:left="324" w:hanging="324"/>
            </w:pPr>
            <w:bookmarkStart w:id="0" w:name="OLE_LINK10"/>
            <w:r w:rsidRPr="008632F8">
              <w:t>Aquatic food base</w:t>
            </w:r>
          </w:p>
        </w:tc>
        <w:tc>
          <w:tcPr>
            <w:tcW w:w="4320" w:type="dxa"/>
          </w:tcPr>
          <w:p w14:paraId="46A4DDF3" w14:textId="77777777" w:rsidR="00DF7C5D" w:rsidRPr="008632F8" w:rsidRDefault="00463E33" w:rsidP="008632F8">
            <w:pPr>
              <w:pStyle w:val="ListParagraph"/>
              <w:numPr>
                <w:ilvl w:val="0"/>
                <w:numId w:val="13"/>
              </w:numPr>
              <w:ind w:left="324" w:hanging="324"/>
            </w:pPr>
            <w:r w:rsidRPr="008632F8">
              <w:t>Rainbow trout fishery</w:t>
            </w:r>
          </w:p>
        </w:tc>
      </w:tr>
      <w:tr w:rsidR="00463E33" w14:paraId="4842610A" w14:textId="77777777" w:rsidTr="008632F8">
        <w:trPr>
          <w:jc w:val="center"/>
        </w:trPr>
        <w:tc>
          <w:tcPr>
            <w:tcW w:w="4320" w:type="dxa"/>
          </w:tcPr>
          <w:p w14:paraId="5DE0271D" w14:textId="77777777" w:rsidR="00463E33" w:rsidRPr="008632F8" w:rsidRDefault="00463E33" w:rsidP="008632F8">
            <w:pPr>
              <w:pStyle w:val="ListParagraph"/>
              <w:numPr>
                <w:ilvl w:val="0"/>
                <w:numId w:val="13"/>
              </w:numPr>
              <w:ind w:left="324" w:hanging="324"/>
            </w:pPr>
            <w:r w:rsidRPr="008632F8">
              <w:rPr>
                <w:szCs w:val="24"/>
              </w:rPr>
              <w:t>Archaeological and cultural resources</w:t>
            </w:r>
          </w:p>
        </w:tc>
        <w:tc>
          <w:tcPr>
            <w:tcW w:w="4320" w:type="dxa"/>
          </w:tcPr>
          <w:p w14:paraId="7B495B59" w14:textId="77777777" w:rsidR="00463E33" w:rsidRPr="008632F8" w:rsidRDefault="00463E33" w:rsidP="008632F8">
            <w:pPr>
              <w:pStyle w:val="ListParagraph"/>
              <w:numPr>
                <w:ilvl w:val="0"/>
                <w:numId w:val="13"/>
              </w:numPr>
              <w:ind w:left="324" w:hanging="324"/>
            </w:pPr>
            <w:r w:rsidRPr="008632F8">
              <w:t>Recreational experience</w:t>
            </w:r>
          </w:p>
        </w:tc>
      </w:tr>
      <w:tr w:rsidR="00463E33" w14:paraId="631ADD00" w14:textId="77777777" w:rsidTr="008632F8">
        <w:trPr>
          <w:jc w:val="center"/>
        </w:trPr>
        <w:tc>
          <w:tcPr>
            <w:tcW w:w="4320" w:type="dxa"/>
          </w:tcPr>
          <w:p w14:paraId="35919247" w14:textId="77777777" w:rsidR="00463E33" w:rsidRPr="008632F8" w:rsidRDefault="00463E33" w:rsidP="008632F8">
            <w:pPr>
              <w:pStyle w:val="ListParagraph"/>
              <w:numPr>
                <w:ilvl w:val="0"/>
                <w:numId w:val="13"/>
              </w:numPr>
              <w:ind w:left="324" w:hanging="324"/>
            </w:pPr>
            <w:r w:rsidRPr="008632F8">
              <w:t>Humpback chub</w:t>
            </w:r>
          </w:p>
        </w:tc>
        <w:tc>
          <w:tcPr>
            <w:tcW w:w="4320" w:type="dxa"/>
          </w:tcPr>
          <w:p w14:paraId="2CA578DF" w14:textId="77777777" w:rsidR="00463E33" w:rsidRPr="008632F8" w:rsidRDefault="00463E33" w:rsidP="008632F8">
            <w:pPr>
              <w:pStyle w:val="ListParagraph"/>
              <w:numPr>
                <w:ilvl w:val="0"/>
                <w:numId w:val="13"/>
              </w:numPr>
              <w:ind w:left="324" w:hanging="324"/>
            </w:pPr>
            <w:r w:rsidRPr="008632F8">
              <w:t>Riparian vegetation</w:t>
            </w:r>
          </w:p>
        </w:tc>
      </w:tr>
      <w:tr w:rsidR="00463E33" w14:paraId="08847C44" w14:textId="77777777" w:rsidTr="008632F8">
        <w:trPr>
          <w:jc w:val="center"/>
        </w:trPr>
        <w:tc>
          <w:tcPr>
            <w:tcW w:w="4320" w:type="dxa"/>
          </w:tcPr>
          <w:p w14:paraId="189D289C" w14:textId="77777777" w:rsidR="00463E33" w:rsidRPr="008632F8" w:rsidRDefault="00463E33" w:rsidP="008632F8">
            <w:pPr>
              <w:pStyle w:val="ListParagraph"/>
              <w:numPr>
                <w:ilvl w:val="0"/>
                <w:numId w:val="13"/>
              </w:numPr>
              <w:ind w:left="324" w:hanging="324"/>
            </w:pPr>
            <w:r w:rsidRPr="008632F8">
              <w:rPr>
                <w:szCs w:val="24"/>
              </w:rPr>
              <w:t>Hydropower and energy</w:t>
            </w:r>
          </w:p>
        </w:tc>
        <w:tc>
          <w:tcPr>
            <w:tcW w:w="4320" w:type="dxa"/>
          </w:tcPr>
          <w:p w14:paraId="602BB9D1" w14:textId="77777777" w:rsidR="00463E33" w:rsidRPr="008632F8" w:rsidRDefault="00463E33" w:rsidP="008632F8">
            <w:pPr>
              <w:pStyle w:val="ListParagraph"/>
              <w:numPr>
                <w:ilvl w:val="0"/>
                <w:numId w:val="13"/>
              </w:numPr>
              <w:ind w:left="324" w:hanging="324"/>
            </w:pPr>
            <w:r w:rsidRPr="008632F8">
              <w:t>Sediment</w:t>
            </w:r>
          </w:p>
        </w:tc>
      </w:tr>
      <w:tr w:rsidR="00463E33" w14:paraId="184F39D9" w14:textId="77777777" w:rsidTr="008632F8">
        <w:trPr>
          <w:jc w:val="center"/>
        </w:trPr>
        <w:tc>
          <w:tcPr>
            <w:tcW w:w="4320" w:type="dxa"/>
          </w:tcPr>
          <w:p w14:paraId="5DA00169" w14:textId="77777777" w:rsidR="00463E33" w:rsidRPr="008632F8" w:rsidRDefault="00463E33" w:rsidP="008632F8">
            <w:pPr>
              <w:pStyle w:val="ListParagraph"/>
              <w:numPr>
                <w:ilvl w:val="0"/>
                <w:numId w:val="13"/>
              </w:numPr>
              <w:ind w:left="324" w:hanging="324"/>
            </w:pPr>
            <w:r w:rsidRPr="008632F8">
              <w:t>Invasive fish species</w:t>
            </w:r>
          </w:p>
        </w:tc>
        <w:tc>
          <w:tcPr>
            <w:tcW w:w="4320" w:type="dxa"/>
          </w:tcPr>
          <w:p w14:paraId="5E6308A3" w14:textId="77777777" w:rsidR="00463E33" w:rsidRPr="008632F8" w:rsidRDefault="00463E33" w:rsidP="008632F8">
            <w:pPr>
              <w:pStyle w:val="ListParagraph"/>
              <w:numPr>
                <w:ilvl w:val="0"/>
                <w:numId w:val="13"/>
              </w:numPr>
              <w:ind w:left="324" w:hanging="324"/>
            </w:pPr>
            <w:r w:rsidRPr="008632F8">
              <w:t>W</w:t>
            </w:r>
            <w:r w:rsidRPr="008632F8">
              <w:rPr>
                <w:szCs w:val="24"/>
              </w:rPr>
              <w:t>ater quality</w:t>
            </w:r>
          </w:p>
        </w:tc>
      </w:tr>
      <w:tr w:rsidR="00DF7C5D" w14:paraId="77F33412" w14:textId="77777777" w:rsidTr="008632F8">
        <w:trPr>
          <w:jc w:val="center"/>
        </w:trPr>
        <w:tc>
          <w:tcPr>
            <w:tcW w:w="4320" w:type="dxa"/>
          </w:tcPr>
          <w:p w14:paraId="326AEB23" w14:textId="77777777" w:rsidR="00DF7C5D" w:rsidRPr="008632F8" w:rsidRDefault="00DF7C5D" w:rsidP="008632F8">
            <w:pPr>
              <w:pStyle w:val="ListParagraph"/>
              <w:numPr>
                <w:ilvl w:val="0"/>
                <w:numId w:val="13"/>
              </w:numPr>
              <w:ind w:left="324" w:hanging="324"/>
            </w:pPr>
            <w:r w:rsidRPr="008632F8">
              <w:t>Other native fish species</w:t>
            </w:r>
          </w:p>
        </w:tc>
        <w:tc>
          <w:tcPr>
            <w:tcW w:w="4320" w:type="dxa"/>
          </w:tcPr>
          <w:p w14:paraId="4ACB651F" w14:textId="77777777" w:rsidR="00DF7C5D" w:rsidRPr="008632F8" w:rsidRDefault="00DF7C5D" w:rsidP="008632F8"/>
        </w:tc>
      </w:tr>
      <w:bookmarkEnd w:id="0"/>
    </w:tbl>
    <w:p w14:paraId="48218043" w14:textId="77777777" w:rsidR="00DF7C5D" w:rsidRDefault="00DF7C5D" w:rsidP="00743BE5">
      <w:pPr>
        <w:spacing w:after="0"/>
      </w:pPr>
    </w:p>
    <w:p w14:paraId="13A7C13A" w14:textId="6B5A1F89" w:rsidR="00C35036" w:rsidRDefault="005D708D" w:rsidP="00C35036">
      <w:r>
        <w:t>Given feedback from the TWG, t</w:t>
      </w:r>
      <w:r w:rsidR="00C35036">
        <w:t xml:space="preserve">he present Knowledge Assessment will focus on a subset of the topics in the 2017 list, consisting of the following </w:t>
      </w:r>
      <w:r w:rsidR="00FD5FB0">
        <w:t>nine</w:t>
      </w:r>
      <w:r w:rsidR="00C35036">
        <w:t xml:space="preserve"> priority resource topics (shown in alphabetical order):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320"/>
      </w:tblGrid>
      <w:tr w:rsidR="002724FD" w14:paraId="3DE88041" w14:textId="77777777" w:rsidTr="00561747">
        <w:trPr>
          <w:jc w:val="center"/>
        </w:trPr>
        <w:tc>
          <w:tcPr>
            <w:tcW w:w="4320" w:type="dxa"/>
          </w:tcPr>
          <w:p w14:paraId="615D9378" w14:textId="77777777" w:rsidR="002724FD" w:rsidRPr="008632F8" w:rsidRDefault="002724FD" w:rsidP="00561747">
            <w:pPr>
              <w:pStyle w:val="ListParagraph"/>
              <w:numPr>
                <w:ilvl w:val="0"/>
                <w:numId w:val="13"/>
              </w:numPr>
              <w:ind w:left="324" w:hanging="324"/>
            </w:pPr>
            <w:r w:rsidRPr="008632F8">
              <w:t>Aquatic food base</w:t>
            </w:r>
          </w:p>
        </w:tc>
        <w:tc>
          <w:tcPr>
            <w:tcW w:w="4320" w:type="dxa"/>
          </w:tcPr>
          <w:p w14:paraId="5DEF3C48" w14:textId="77777777" w:rsidR="002724FD" w:rsidRPr="008632F8" w:rsidRDefault="002724FD" w:rsidP="00561747">
            <w:pPr>
              <w:pStyle w:val="ListParagraph"/>
              <w:numPr>
                <w:ilvl w:val="0"/>
                <w:numId w:val="13"/>
              </w:numPr>
              <w:ind w:left="324" w:hanging="324"/>
            </w:pPr>
            <w:r w:rsidRPr="008632F8">
              <w:t>Rainbow trout fishery</w:t>
            </w:r>
          </w:p>
        </w:tc>
      </w:tr>
      <w:tr w:rsidR="002724FD" w14:paraId="32139F95" w14:textId="77777777" w:rsidTr="00561747">
        <w:trPr>
          <w:jc w:val="center"/>
        </w:trPr>
        <w:tc>
          <w:tcPr>
            <w:tcW w:w="4320" w:type="dxa"/>
          </w:tcPr>
          <w:p w14:paraId="1B8D1F3F" w14:textId="07ACD6B8" w:rsidR="002724FD" w:rsidRPr="008632F8" w:rsidRDefault="002724FD" w:rsidP="00561747">
            <w:pPr>
              <w:pStyle w:val="ListParagraph"/>
              <w:numPr>
                <w:ilvl w:val="0"/>
                <w:numId w:val="13"/>
              </w:numPr>
              <w:ind w:left="324" w:hanging="324"/>
            </w:pPr>
            <w:r>
              <w:rPr>
                <w:szCs w:val="24"/>
              </w:rPr>
              <w:t>Humpback chub</w:t>
            </w:r>
          </w:p>
        </w:tc>
        <w:tc>
          <w:tcPr>
            <w:tcW w:w="4320" w:type="dxa"/>
          </w:tcPr>
          <w:p w14:paraId="0FF4815E" w14:textId="77777777" w:rsidR="002724FD" w:rsidRPr="008632F8" w:rsidRDefault="002724FD" w:rsidP="00561747">
            <w:pPr>
              <w:pStyle w:val="ListParagraph"/>
              <w:numPr>
                <w:ilvl w:val="0"/>
                <w:numId w:val="13"/>
              </w:numPr>
              <w:ind w:left="324" w:hanging="324"/>
            </w:pPr>
            <w:r w:rsidRPr="008632F8">
              <w:t>Recreational experience</w:t>
            </w:r>
          </w:p>
        </w:tc>
      </w:tr>
      <w:tr w:rsidR="002724FD" w14:paraId="4A9709AA" w14:textId="77777777" w:rsidTr="00561747">
        <w:trPr>
          <w:jc w:val="center"/>
        </w:trPr>
        <w:tc>
          <w:tcPr>
            <w:tcW w:w="4320" w:type="dxa"/>
          </w:tcPr>
          <w:p w14:paraId="35DDE5F4" w14:textId="4DF7960E" w:rsidR="002724FD" w:rsidRPr="008632F8" w:rsidRDefault="002724FD" w:rsidP="00561747">
            <w:pPr>
              <w:pStyle w:val="ListParagraph"/>
              <w:numPr>
                <w:ilvl w:val="0"/>
                <w:numId w:val="13"/>
              </w:numPr>
              <w:ind w:left="324" w:hanging="324"/>
            </w:pPr>
            <w:r>
              <w:t>Hydropower and energy</w:t>
            </w:r>
          </w:p>
        </w:tc>
        <w:tc>
          <w:tcPr>
            <w:tcW w:w="4320" w:type="dxa"/>
          </w:tcPr>
          <w:p w14:paraId="1CCB9EC7" w14:textId="69D12E3C" w:rsidR="002724FD" w:rsidRPr="008632F8" w:rsidRDefault="002724FD" w:rsidP="00561747">
            <w:pPr>
              <w:pStyle w:val="ListParagraph"/>
              <w:numPr>
                <w:ilvl w:val="0"/>
                <w:numId w:val="13"/>
              </w:numPr>
              <w:ind w:left="324" w:hanging="324"/>
            </w:pPr>
            <w:r>
              <w:t>Sediment</w:t>
            </w:r>
          </w:p>
        </w:tc>
      </w:tr>
      <w:tr w:rsidR="002724FD" w14:paraId="66A1BF59" w14:textId="77777777" w:rsidTr="00561747">
        <w:trPr>
          <w:jc w:val="center"/>
        </w:trPr>
        <w:tc>
          <w:tcPr>
            <w:tcW w:w="4320" w:type="dxa"/>
          </w:tcPr>
          <w:p w14:paraId="1F5AA2A4" w14:textId="0AD85FB3" w:rsidR="002724FD" w:rsidRPr="008632F8" w:rsidRDefault="002724FD" w:rsidP="00561747">
            <w:pPr>
              <w:pStyle w:val="ListParagraph"/>
              <w:numPr>
                <w:ilvl w:val="0"/>
                <w:numId w:val="13"/>
              </w:numPr>
              <w:ind w:left="324" w:hanging="324"/>
            </w:pPr>
            <w:r>
              <w:rPr>
                <w:szCs w:val="24"/>
              </w:rPr>
              <w:t>Invasive fish species</w:t>
            </w:r>
          </w:p>
        </w:tc>
        <w:tc>
          <w:tcPr>
            <w:tcW w:w="4320" w:type="dxa"/>
          </w:tcPr>
          <w:p w14:paraId="731E25EC" w14:textId="06A70B92" w:rsidR="002724FD" w:rsidRPr="008632F8" w:rsidRDefault="002724FD" w:rsidP="00561747">
            <w:pPr>
              <w:pStyle w:val="ListParagraph"/>
              <w:numPr>
                <w:ilvl w:val="0"/>
                <w:numId w:val="13"/>
              </w:numPr>
              <w:ind w:left="324" w:hanging="324"/>
            </w:pPr>
            <w:r>
              <w:t>Water quality</w:t>
            </w:r>
          </w:p>
        </w:tc>
      </w:tr>
      <w:tr w:rsidR="002724FD" w14:paraId="51170601" w14:textId="77777777" w:rsidTr="00561747">
        <w:trPr>
          <w:jc w:val="center"/>
        </w:trPr>
        <w:tc>
          <w:tcPr>
            <w:tcW w:w="4320" w:type="dxa"/>
          </w:tcPr>
          <w:p w14:paraId="6636B9D5" w14:textId="5235DB85" w:rsidR="002724FD" w:rsidRPr="008632F8" w:rsidRDefault="002724FD" w:rsidP="00561747">
            <w:pPr>
              <w:pStyle w:val="ListParagraph"/>
              <w:numPr>
                <w:ilvl w:val="0"/>
                <w:numId w:val="13"/>
              </w:numPr>
              <w:ind w:left="324" w:hanging="324"/>
            </w:pPr>
            <w:r>
              <w:t>Other native fish species</w:t>
            </w:r>
          </w:p>
        </w:tc>
        <w:tc>
          <w:tcPr>
            <w:tcW w:w="4320" w:type="dxa"/>
          </w:tcPr>
          <w:p w14:paraId="5C840DEC" w14:textId="5B47F11B" w:rsidR="002724FD" w:rsidRPr="008632F8" w:rsidRDefault="002724FD" w:rsidP="008A5DC6">
            <w:pPr>
              <w:pStyle w:val="ListParagraph"/>
              <w:ind w:left="324"/>
            </w:pPr>
          </w:p>
        </w:tc>
      </w:tr>
      <w:tr w:rsidR="002724FD" w14:paraId="33FD608A" w14:textId="77777777" w:rsidTr="00561747">
        <w:trPr>
          <w:jc w:val="center"/>
        </w:trPr>
        <w:tc>
          <w:tcPr>
            <w:tcW w:w="4320" w:type="dxa"/>
          </w:tcPr>
          <w:p w14:paraId="7B4E2415" w14:textId="77337054" w:rsidR="002724FD" w:rsidRPr="008632F8" w:rsidRDefault="002724FD" w:rsidP="008A5DC6">
            <w:pPr>
              <w:pStyle w:val="ListParagraph"/>
              <w:ind w:left="324"/>
            </w:pPr>
          </w:p>
        </w:tc>
        <w:tc>
          <w:tcPr>
            <w:tcW w:w="4320" w:type="dxa"/>
          </w:tcPr>
          <w:p w14:paraId="7FCB4405" w14:textId="77777777" w:rsidR="002724FD" w:rsidRPr="008632F8" w:rsidRDefault="002724FD" w:rsidP="00561747"/>
        </w:tc>
      </w:tr>
    </w:tbl>
    <w:p w14:paraId="638B8CFE" w14:textId="613FA890" w:rsidR="00874AF6" w:rsidRDefault="00A225C1">
      <w:r>
        <w:t xml:space="preserve">The present Knowledge Assessment recognizes that the topic on the master list, “Tribal resources,” in fact refers not to a separate set of resources, but rather to the same resources of interest to the </w:t>
      </w:r>
      <w:proofErr w:type="gramStart"/>
      <w:r>
        <w:t>GCDAMP as a whole, considered</w:t>
      </w:r>
      <w:proofErr w:type="gramEnd"/>
      <w:r>
        <w:t xml:space="preserve"> from the standpoint of traditional values among the several Native American tribal constituents of the GCDAMP. </w:t>
      </w:r>
      <w:r w:rsidR="00416FF0">
        <w:t>A lesson learned from the 2017 Knowledge Assessment is that this</w:t>
      </w:r>
      <w:r w:rsidR="000377FA">
        <w:t xml:space="preserve"> </w:t>
      </w:r>
      <w:r w:rsidR="0042190B">
        <w:t xml:space="preserve">western scientific </w:t>
      </w:r>
      <w:r w:rsidR="00A26273">
        <w:t xml:space="preserve">Knowledge Assessment </w:t>
      </w:r>
      <w:r w:rsidR="00416FF0">
        <w:t xml:space="preserve">approach is unsuitable for considering </w:t>
      </w:r>
      <w:r w:rsidR="000377FA">
        <w:t xml:space="preserve">traditional </w:t>
      </w:r>
      <w:r w:rsidR="00D56F88">
        <w:t xml:space="preserve">perspectives of </w:t>
      </w:r>
      <w:r w:rsidR="000377FA">
        <w:t>the several Native American tribal constituents of the GCDAMP</w:t>
      </w:r>
      <w:r w:rsidR="00D630BA">
        <w:t>.</w:t>
      </w:r>
      <w:r w:rsidR="00416FF0">
        <w:t xml:space="preserve">  A different approach needs to be developed to consider “Tribal resources” properly.  </w:t>
      </w:r>
      <w:r w:rsidR="00124254">
        <w:t xml:space="preserve">During the October </w:t>
      </w:r>
      <w:r w:rsidR="00E0407E">
        <w:t xml:space="preserve">2019 </w:t>
      </w:r>
      <w:r w:rsidR="00124254">
        <w:t>TWG meeting, t</w:t>
      </w:r>
      <w:r w:rsidR="00416FF0">
        <w:t xml:space="preserve">he </w:t>
      </w:r>
      <w:r w:rsidR="00BE269A">
        <w:t xml:space="preserve">TWG discussed how </w:t>
      </w:r>
      <w:r w:rsidR="00C779AB">
        <w:t>traditional pers</w:t>
      </w:r>
      <w:r w:rsidR="008F03C0">
        <w:t xml:space="preserve">pectives and </w:t>
      </w:r>
      <w:r w:rsidR="00D237E8">
        <w:t xml:space="preserve">knowledge could be </w:t>
      </w:r>
      <w:r w:rsidR="00E07161">
        <w:t>documented</w:t>
      </w:r>
      <w:r w:rsidR="008F03C0">
        <w:t xml:space="preserve"> as part of the broader KA process.  </w:t>
      </w:r>
      <w:r w:rsidR="007F75E9">
        <w:t xml:space="preserve">There was agreement to </w:t>
      </w:r>
      <w:r w:rsidR="00940A14">
        <w:t xml:space="preserve">have </w:t>
      </w:r>
      <w:r w:rsidR="008F03C0">
        <w:t xml:space="preserve">the tribal representatives </w:t>
      </w:r>
      <w:r w:rsidR="00150816">
        <w:t>of the TWG develop ‘one-page</w:t>
      </w:r>
      <w:r w:rsidR="00940A14">
        <w:t>r</w:t>
      </w:r>
      <w:r w:rsidR="00150816">
        <w:t xml:space="preserve">’ type documents </w:t>
      </w:r>
      <w:r w:rsidR="00940A14">
        <w:t>to describe th</w:t>
      </w:r>
      <w:r w:rsidR="00446FA7">
        <w:t>eir perspectives and knowledge.  Note, tribal representative</w:t>
      </w:r>
      <w:r w:rsidR="0075244A">
        <w:t>s</w:t>
      </w:r>
      <w:r w:rsidR="00446FA7">
        <w:t xml:space="preserve"> </w:t>
      </w:r>
      <w:r w:rsidR="0075244A">
        <w:t xml:space="preserve">are also key </w:t>
      </w:r>
      <w:r w:rsidR="00446FA7">
        <w:t>participa</w:t>
      </w:r>
      <w:r w:rsidR="0075244A">
        <w:t xml:space="preserve">nts </w:t>
      </w:r>
      <w:r w:rsidR="00446FA7">
        <w:t>in the process described in this guidance document</w:t>
      </w:r>
      <w:r w:rsidR="00142C98">
        <w:t>.</w:t>
      </w:r>
      <w:r w:rsidR="00940A14">
        <w:t xml:space="preserve"> </w:t>
      </w:r>
    </w:p>
    <w:p w14:paraId="37BEF6BA" w14:textId="03311510" w:rsidR="000031A2" w:rsidRDefault="00D630BA">
      <w:r>
        <w:t xml:space="preserve">Specifically, the present Knowledge Assessment seeks to answer three sets of questions for each of the </w:t>
      </w:r>
      <w:r w:rsidR="00F7435F">
        <w:t xml:space="preserve">nine </w:t>
      </w:r>
      <w:r w:rsidR="0088341B">
        <w:t xml:space="preserve">selected </w:t>
      </w:r>
      <w:r>
        <w:t xml:space="preserve">resource topics, from </w:t>
      </w:r>
      <w:r w:rsidR="00F923C8">
        <w:t xml:space="preserve">a </w:t>
      </w:r>
      <w:r>
        <w:t xml:space="preserve">scientific </w:t>
      </w:r>
      <w:r w:rsidR="00D56F88">
        <w:t>perspective</w:t>
      </w:r>
      <w:r w:rsidR="006A09B2">
        <w:t>:</w:t>
      </w:r>
    </w:p>
    <w:p w14:paraId="340C0A5F" w14:textId="77777777" w:rsidR="006A09B2" w:rsidRPr="003F4D14" w:rsidRDefault="004E6383" w:rsidP="009665D6">
      <w:pPr>
        <w:pStyle w:val="ListParagraph"/>
        <w:numPr>
          <w:ilvl w:val="0"/>
          <w:numId w:val="1"/>
        </w:numPr>
        <w:rPr>
          <w:b/>
        </w:rPr>
      </w:pPr>
      <w:r w:rsidRPr="003F4D14">
        <w:rPr>
          <w:b/>
        </w:rPr>
        <w:t>S</w:t>
      </w:r>
      <w:r w:rsidR="009665D6" w:rsidRPr="003F4D14">
        <w:rPr>
          <w:b/>
        </w:rPr>
        <w:t xml:space="preserve">tatus and </w:t>
      </w:r>
      <w:r w:rsidR="00316FF9" w:rsidRPr="003F4D14">
        <w:rPr>
          <w:b/>
        </w:rPr>
        <w:t>T</w:t>
      </w:r>
      <w:r w:rsidR="009665D6" w:rsidRPr="003F4D14">
        <w:rPr>
          <w:b/>
        </w:rPr>
        <w:t>rend</w:t>
      </w:r>
    </w:p>
    <w:p w14:paraId="4CF6BF52" w14:textId="77777777" w:rsidR="001C1C8A" w:rsidRDefault="006A09B2" w:rsidP="006A09B2">
      <w:pPr>
        <w:pStyle w:val="ListParagraph"/>
        <w:numPr>
          <w:ilvl w:val="1"/>
          <w:numId w:val="1"/>
        </w:numPr>
      </w:pPr>
      <w:r>
        <w:t xml:space="preserve">What is </w:t>
      </w:r>
      <w:r w:rsidR="00316FF9">
        <w:t>our</w:t>
      </w:r>
      <w:r>
        <w:t xml:space="preserve"> present </w:t>
      </w:r>
      <w:r w:rsidR="002D37B8">
        <w:t>understanding (hypotheses) concerning</w:t>
      </w:r>
      <w:r w:rsidR="000759E5">
        <w:t xml:space="preserve"> the </w:t>
      </w:r>
      <w:r>
        <w:t>status of the condition(s) addressed by the topic</w:t>
      </w:r>
      <w:r w:rsidR="001C1C8A">
        <w:t>?</w:t>
      </w:r>
      <w:r w:rsidR="00F923C8">
        <w:t xml:space="preserve"> (Note, quantifiable objectives have not been developed for most resource topics, therefore, a lesson learned from the 2017 Knowledge Assessment was that this question may not be appropriate for all resource topics).</w:t>
      </w:r>
    </w:p>
    <w:p w14:paraId="31167A57" w14:textId="37C12185" w:rsidR="006A09B2" w:rsidRDefault="001C1C8A" w:rsidP="006A09B2">
      <w:pPr>
        <w:pStyle w:val="ListParagraph"/>
        <w:numPr>
          <w:ilvl w:val="1"/>
          <w:numId w:val="1"/>
        </w:numPr>
      </w:pPr>
      <w:r>
        <w:t xml:space="preserve">What is </w:t>
      </w:r>
      <w:r w:rsidR="00316FF9">
        <w:t>our</w:t>
      </w:r>
      <w:r>
        <w:t xml:space="preserve"> present </w:t>
      </w:r>
      <w:r w:rsidR="002D37B8">
        <w:t>understanding (hypotheses) concerning</w:t>
      </w:r>
      <w:r>
        <w:t xml:space="preserve"> </w:t>
      </w:r>
      <w:r w:rsidR="0088341B">
        <w:t>the</w:t>
      </w:r>
      <w:r w:rsidR="00077305">
        <w:t xml:space="preserve"> </w:t>
      </w:r>
      <w:r w:rsidR="00B12672">
        <w:t xml:space="preserve">strength and </w:t>
      </w:r>
      <w:r w:rsidR="00077305">
        <w:t xml:space="preserve">direction of any </w:t>
      </w:r>
      <w:r w:rsidR="006A09B2">
        <w:t>trend</w:t>
      </w:r>
      <w:r w:rsidR="00773182">
        <w:t>(</w:t>
      </w:r>
      <w:r w:rsidR="00DD495A">
        <w:t>s</w:t>
      </w:r>
      <w:r w:rsidR="00773182">
        <w:t>)</w:t>
      </w:r>
      <w:r w:rsidR="00DD495A">
        <w:t xml:space="preserve"> </w:t>
      </w:r>
      <w:r>
        <w:t>in these conditions</w:t>
      </w:r>
      <w:r w:rsidR="006A09B2">
        <w:t>?</w:t>
      </w:r>
    </w:p>
    <w:p w14:paraId="4660355F" w14:textId="77777777" w:rsidR="000759E5" w:rsidRDefault="000759E5" w:rsidP="006A09B2">
      <w:pPr>
        <w:pStyle w:val="ListParagraph"/>
        <w:numPr>
          <w:ilvl w:val="1"/>
          <w:numId w:val="1"/>
        </w:numPr>
      </w:pPr>
      <w:r>
        <w:t xml:space="preserve">How certain or uncertain is this understanding </w:t>
      </w:r>
      <w:r w:rsidR="00773182">
        <w:t>(</w:t>
      </w:r>
      <w:r>
        <w:t>confidence</w:t>
      </w:r>
      <w:r w:rsidR="00773182">
        <w:t>)</w:t>
      </w:r>
      <w:r>
        <w:t>?</w:t>
      </w:r>
    </w:p>
    <w:p w14:paraId="73EC4836" w14:textId="77777777" w:rsidR="000759E5" w:rsidRPr="003F4D14" w:rsidRDefault="000759E5" w:rsidP="009665D6">
      <w:pPr>
        <w:pStyle w:val="ListParagraph"/>
        <w:numPr>
          <w:ilvl w:val="0"/>
          <w:numId w:val="1"/>
        </w:numPr>
        <w:rPr>
          <w:b/>
        </w:rPr>
      </w:pPr>
      <w:r w:rsidRPr="003F4D14">
        <w:rPr>
          <w:b/>
        </w:rPr>
        <w:t>D</w:t>
      </w:r>
      <w:r w:rsidR="00DD495A" w:rsidRPr="003F4D14">
        <w:rPr>
          <w:b/>
        </w:rPr>
        <w:t>rivers</w:t>
      </w:r>
      <w:r w:rsidRPr="003F4D14">
        <w:rPr>
          <w:b/>
        </w:rPr>
        <w:t xml:space="preserve"> and</w:t>
      </w:r>
      <w:r w:rsidR="00DD495A" w:rsidRPr="003F4D14">
        <w:rPr>
          <w:b/>
        </w:rPr>
        <w:t xml:space="preserve"> </w:t>
      </w:r>
      <w:r w:rsidR="00316FF9" w:rsidRPr="003F4D14">
        <w:rPr>
          <w:b/>
        </w:rPr>
        <w:t>C</w:t>
      </w:r>
      <w:r w:rsidR="00DD495A" w:rsidRPr="003F4D14">
        <w:rPr>
          <w:b/>
        </w:rPr>
        <w:t>onstraints</w:t>
      </w:r>
      <w:r w:rsidR="009D02E8">
        <w:rPr>
          <w:b/>
        </w:rPr>
        <w:t xml:space="preserve"> </w:t>
      </w:r>
      <w:r w:rsidR="009D02E8" w:rsidRPr="009D02E8">
        <w:rPr>
          <w:i/>
        </w:rPr>
        <w:t>(see definition later in document)</w:t>
      </w:r>
    </w:p>
    <w:p w14:paraId="4A9B437E" w14:textId="77777777" w:rsidR="00DD495A" w:rsidRDefault="000759E5" w:rsidP="000759E5">
      <w:pPr>
        <w:pStyle w:val="ListParagraph"/>
        <w:numPr>
          <w:ilvl w:val="1"/>
          <w:numId w:val="1"/>
        </w:numPr>
      </w:pPr>
      <w:r>
        <w:t xml:space="preserve">What </w:t>
      </w:r>
      <w:r w:rsidR="001C1C8A">
        <w:t xml:space="preserve">is </w:t>
      </w:r>
      <w:r w:rsidR="00316FF9">
        <w:t>our</w:t>
      </w:r>
      <w:r w:rsidR="001C1C8A">
        <w:t xml:space="preserve"> present understanding </w:t>
      </w:r>
      <w:r w:rsidR="00773182">
        <w:t xml:space="preserve">(hypotheses) concerning </w:t>
      </w:r>
      <w:r w:rsidR="001C1C8A">
        <w:t xml:space="preserve">the </w:t>
      </w:r>
      <w:r>
        <w:t>factors (drivers and constraints</w:t>
      </w:r>
      <w:r w:rsidR="006A4539">
        <w:t xml:space="preserve"> – see definitions below</w:t>
      </w:r>
      <w:r>
        <w:t>)</w:t>
      </w:r>
      <w:r w:rsidR="00DD495A">
        <w:t xml:space="preserve"> </w:t>
      </w:r>
      <w:r w:rsidR="001C1C8A">
        <w:t>that significantly</w:t>
      </w:r>
      <w:r w:rsidR="00DD495A">
        <w:t xml:space="preserve"> shape </w:t>
      </w:r>
      <w:r w:rsidR="000D63A4">
        <w:t xml:space="preserve">the </w:t>
      </w:r>
      <w:r w:rsidR="00DD495A">
        <w:t xml:space="preserve">status and trends in these </w:t>
      </w:r>
      <w:r>
        <w:t>conditions?</w:t>
      </w:r>
    </w:p>
    <w:p w14:paraId="417906A0" w14:textId="77777777" w:rsidR="00773182" w:rsidRDefault="00773182" w:rsidP="000759E5">
      <w:pPr>
        <w:pStyle w:val="ListParagraph"/>
        <w:numPr>
          <w:ilvl w:val="1"/>
          <w:numId w:val="1"/>
        </w:numPr>
      </w:pPr>
      <w:r>
        <w:t xml:space="preserve">What is </w:t>
      </w:r>
      <w:r w:rsidR="00316FF9">
        <w:t>our</w:t>
      </w:r>
      <w:r>
        <w:t xml:space="preserve"> present </w:t>
      </w:r>
      <w:r w:rsidR="002D37B8">
        <w:t>understanding (hypotheses) concerning</w:t>
      </w:r>
      <w:r>
        <w:t xml:space="preserve"> the strength and direction of these effects?</w:t>
      </w:r>
    </w:p>
    <w:p w14:paraId="5AFFF766" w14:textId="77777777" w:rsidR="000759E5" w:rsidRDefault="000759E5" w:rsidP="000759E5">
      <w:pPr>
        <w:pStyle w:val="ListParagraph"/>
        <w:numPr>
          <w:ilvl w:val="1"/>
          <w:numId w:val="1"/>
        </w:numPr>
      </w:pPr>
      <w:r>
        <w:t xml:space="preserve">How certain or uncertain is this understanding </w:t>
      </w:r>
      <w:r w:rsidR="00773182">
        <w:t>(</w:t>
      </w:r>
      <w:r>
        <w:t>confidence</w:t>
      </w:r>
      <w:r w:rsidR="00773182">
        <w:t>)</w:t>
      </w:r>
      <w:r>
        <w:t>?</w:t>
      </w:r>
    </w:p>
    <w:p w14:paraId="28C2E4A4" w14:textId="77777777" w:rsidR="00DD495A" w:rsidRPr="003F4D14" w:rsidRDefault="003F4D14" w:rsidP="000377FA">
      <w:pPr>
        <w:pStyle w:val="ListParagraph"/>
        <w:keepNext/>
        <w:numPr>
          <w:ilvl w:val="0"/>
          <w:numId w:val="1"/>
        </w:numPr>
        <w:rPr>
          <w:b/>
        </w:rPr>
      </w:pPr>
      <w:r>
        <w:rPr>
          <w:b/>
        </w:rPr>
        <w:t>Effects</w:t>
      </w:r>
      <w:r w:rsidR="00DD495A" w:rsidRPr="003F4D14">
        <w:rPr>
          <w:b/>
        </w:rPr>
        <w:t xml:space="preserve"> of </w:t>
      </w:r>
      <w:r w:rsidR="00316FF9" w:rsidRPr="003F4D14">
        <w:rPr>
          <w:b/>
        </w:rPr>
        <w:t>M</w:t>
      </w:r>
      <w:r w:rsidR="004E6383" w:rsidRPr="003F4D14">
        <w:rPr>
          <w:b/>
        </w:rPr>
        <w:t xml:space="preserve">anagement </w:t>
      </w:r>
      <w:r w:rsidR="00316FF9" w:rsidRPr="003F4D14">
        <w:rPr>
          <w:b/>
        </w:rPr>
        <w:t>A</w:t>
      </w:r>
      <w:r w:rsidR="004E6383" w:rsidRPr="003F4D14">
        <w:rPr>
          <w:b/>
        </w:rPr>
        <w:t>ctions</w:t>
      </w:r>
    </w:p>
    <w:p w14:paraId="57CA2039" w14:textId="77777777" w:rsidR="001C1C8A" w:rsidRDefault="001C1C8A" w:rsidP="001C1C8A">
      <w:pPr>
        <w:pStyle w:val="ListParagraph"/>
        <w:numPr>
          <w:ilvl w:val="1"/>
          <w:numId w:val="1"/>
        </w:numPr>
      </w:pPr>
      <w:r>
        <w:t xml:space="preserve">What is </w:t>
      </w:r>
      <w:r w:rsidR="00316FF9">
        <w:t>our</w:t>
      </w:r>
      <w:r>
        <w:t xml:space="preserve"> present understanding </w:t>
      </w:r>
      <w:r w:rsidR="00316FF9">
        <w:t xml:space="preserve">(hypotheses) concerning </w:t>
      </w:r>
      <w:r>
        <w:t xml:space="preserve">the </w:t>
      </w:r>
      <w:r w:rsidR="00773182">
        <w:t xml:space="preserve">ways in which each </w:t>
      </w:r>
      <w:r w:rsidR="002D37B8">
        <w:t xml:space="preserve">type of </w:t>
      </w:r>
      <w:r w:rsidR="00773182">
        <w:t xml:space="preserve">GCDAMP management action affects or could affect </w:t>
      </w:r>
      <w:r w:rsidR="000D63A4">
        <w:t xml:space="preserve">the </w:t>
      </w:r>
      <w:r>
        <w:t>status and trends in these conditions?</w:t>
      </w:r>
    </w:p>
    <w:p w14:paraId="004310D7" w14:textId="77777777" w:rsidR="00773182" w:rsidRDefault="00773182" w:rsidP="00773182">
      <w:pPr>
        <w:pStyle w:val="ListParagraph"/>
        <w:numPr>
          <w:ilvl w:val="1"/>
          <w:numId w:val="1"/>
        </w:numPr>
      </w:pPr>
      <w:r>
        <w:t xml:space="preserve">What is </w:t>
      </w:r>
      <w:r w:rsidR="00316FF9">
        <w:t>our</w:t>
      </w:r>
      <w:r>
        <w:t xml:space="preserve"> present </w:t>
      </w:r>
      <w:r w:rsidR="002D37B8">
        <w:t>understanding (hypotheses) concerning</w:t>
      </w:r>
      <w:r>
        <w:t xml:space="preserve"> the strength and direction of these effects?</w:t>
      </w:r>
    </w:p>
    <w:p w14:paraId="27E9AB53" w14:textId="77777777" w:rsidR="001C1C8A" w:rsidRDefault="001C1C8A" w:rsidP="001C1C8A">
      <w:pPr>
        <w:pStyle w:val="ListParagraph"/>
        <w:numPr>
          <w:ilvl w:val="1"/>
          <w:numId w:val="1"/>
        </w:numPr>
      </w:pPr>
      <w:r>
        <w:t xml:space="preserve">How certain or uncertain is this understanding </w:t>
      </w:r>
      <w:r w:rsidR="00773182">
        <w:t>(</w:t>
      </w:r>
      <w:r>
        <w:t>confidence</w:t>
      </w:r>
      <w:r w:rsidR="00773182">
        <w:t>)</w:t>
      </w:r>
      <w:r>
        <w:t>?</w:t>
      </w:r>
    </w:p>
    <w:p w14:paraId="4A5E50DE" w14:textId="748C58A7" w:rsidR="000377FA" w:rsidRDefault="00145927">
      <w:r>
        <w:t xml:space="preserve">The last of these </w:t>
      </w:r>
      <w:r w:rsidR="00743BE5">
        <w:t xml:space="preserve">three sets of </w:t>
      </w:r>
      <w:r>
        <w:t xml:space="preserve">questions </w:t>
      </w:r>
      <w:r w:rsidR="00C85352">
        <w:t>may</w:t>
      </w:r>
      <w:r w:rsidR="00743BE5">
        <w:t xml:space="preserve"> focus on </w:t>
      </w:r>
      <w:r w:rsidR="009D02E8">
        <w:t xml:space="preserve">the following actions, identified in the LTEMP </w:t>
      </w:r>
      <w:r w:rsidR="00B04420">
        <w:t>F</w:t>
      </w:r>
      <w:r w:rsidR="009D02E8">
        <w:t xml:space="preserve">EIS as components of the </w:t>
      </w:r>
      <w:r w:rsidR="00A60883">
        <w:t xml:space="preserve">Selected </w:t>
      </w:r>
      <w:r w:rsidR="009D02E8">
        <w:t>Alternative</w:t>
      </w:r>
      <w:r w:rsidR="0028466D">
        <w:rPr>
          <w:rStyle w:val="FootnoteReference"/>
        </w:rPr>
        <w:footnoteReference w:id="1"/>
      </w:r>
      <w:r w:rsidR="002C1CF1">
        <w:t xml:space="preserve"> and in oth</w:t>
      </w:r>
      <w:r w:rsidR="002F19D3">
        <w:t>er agency decision documents</w:t>
      </w:r>
      <w:r w:rsidR="00563B34">
        <w:t xml:space="preserve"> (Note, a lesson learned from the 2017 Knowledge Assessment was that not all management actions need to be</w:t>
      </w:r>
      <w:r w:rsidR="00122DB3">
        <w:t xml:space="preserve"> evaluated every year.)</w:t>
      </w:r>
      <w:r w:rsidR="009D02E8">
        <w:t>:</w:t>
      </w:r>
    </w:p>
    <w:tbl>
      <w:tblPr>
        <w:tblStyle w:val="TableGrid"/>
        <w:tblW w:w="1238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92"/>
        <w:gridCol w:w="6192"/>
      </w:tblGrid>
      <w:tr w:rsidR="00CA468B" w:rsidRPr="00145927" w14:paraId="0C384248" w14:textId="77777777" w:rsidTr="00C333C9">
        <w:trPr>
          <w:jc w:val="center"/>
        </w:trPr>
        <w:tc>
          <w:tcPr>
            <w:tcW w:w="6192" w:type="dxa"/>
          </w:tcPr>
          <w:p w14:paraId="1F5121FA" w14:textId="77777777" w:rsidR="00CA468B" w:rsidRPr="00B04420" w:rsidRDefault="00CA468B" w:rsidP="00C333C9">
            <w:pPr>
              <w:pStyle w:val="ListParagraph"/>
              <w:numPr>
                <w:ilvl w:val="0"/>
                <w:numId w:val="12"/>
              </w:numPr>
              <w:ind w:left="234" w:hanging="234"/>
            </w:pPr>
            <w:r w:rsidRPr="00B04420">
              <w:t>Spring HFEs</w:t>
            </w:r>
            <w:r>
              <w:rPr>
                <w:rStyle w:val="FootnoteReference"/>
              </w:rPr>
              <w:footnoteReference w:id="2"/>
            </w:r>
            <w:r w:rsidRPr="00B04420">
              <w:t xml:space="preserve"> ≤ 45,000 cfs in March or April</w:t>
            </w:r>
          </w:p>
        </w:tc>
        <w:tc>
          <w:tcPr>
            <w:tcW w:w="6192" w:type="dxa"/>
          </w:tcPr>
          <w:p w14:paraId="069138AF" w14:textId="77777777" w:rsidR="00CA468B" w:rsidRPr="00B04420" w:rsidRDefault="00CA468B" w:rsidP="00D23EFE">
            <w:pPr>
              <w:pStyle w:val="ListParagraph"/>
              <w:numPr>
                <w:ilvl w:val="0"/>
                <w:numId w:val="12"/>
              </w:numPr>
              <w:ind w:left="234" w:hanging="234"/>
            </w:pPr>
            <w:r w:rsidRPr="00B04420">
              <w:t>Humpback chub translocation</w:t>
            </w:r>
          </w:p>
        </w:tc>
      </w:tr>
      <w:tr w:rsidR="00CA468B" w:rsidRPr="00145927" w14:paraId="14E8255B" w14:textId="77777777" w:rsidTr="00C333C9">
        <w:trPr>
          <w:jc w:val="center"/>
        </w:trPr>
        <w:tc>
          <w:tcPr>
            <w:tcW w:w="6192" w:type="dxa"/>
          </w:tcPr>
          <w:p w14:paraId="65537A2D" w14:textId="77777777" w:rsidR="00CA468B" w:rsidRPr="00B04420" w:rsidRDefault="00CA468B" w:rsidP="00C333C9">
            <w:pPr>
              <w:pStyle w:val="ListParagraph"/>
              <w:numPr>
                <w:ilvl w:val="0"/>
                <w:numId w:val="12"/>
              </w:numPr>
              <w:ind w:left="234" w:hanging="234"/>
            </w:pPr>
            <w:r w:rsidRPr="00B04420">
              <w:t>Proactive Spring HFEs ≤ 45,000 cfs in April, May, or June</w:t>
            </w:r>
          </w:p>
        </w:tc>
        <w:tc>
          <w:tcPr>
            <w:tcW w:w="6192" w:type="dxa"/>
          </w:tcPr>
          <w:p w14:paraId="4E830F20" w14:textId="77777777" w:rsidR="00CA468B" w:rsidRPr="00B04420" w:rsidRDefault="00CA468B" w:rsidP="00D23EFE">
            <w:pPr>
              <w:pStyle w:val="ListParagraph"/>
              <w:numPr>
                <w:ilvl w:val="0"/>
                <w:numId w:val="12"/>
              </w:numPr>
              <w:ind w:left="234" w:hanging="234"/>
            </w:pPr>
            <w:r>
              <w:t>Mechanical removal of rainbow trout from LCR</w:t>
            </w:r>
            <w:r>
              <w:rPr>
                <w:rStyle w:val="FootnoteReference"/>
              </w:rPr>
              <w:footnoteReference w:id="3"/>
            </w:r>
            <w:r>
              <w:t xml:space="preserve"> reach</w:t>
            </w:r>
          </w:p>
        </w:tc>
      </w:tr>
      <w:tr w:rsidR="00CA468B" w:rsidRPr="00145927" w14:paraId="072D90CE" w14:textId="77777777" w:rsidTr="00C333C9">
        <w:trPr>
          <w:jc w:val="center"/>
        </w:trPr>
        <w:tc>
          <w:tcPr>
            <w:tcW w:w="6192" w:type="dxa"/>
          </w:tcPr>
          <w:p w14:paraId="28EDC8A9" w14:textId="77777777" w:rsidR="00CA468B" w:rsidRPr="00B04420" w:rsidRDefault="00CA468B" w:rsidP="00640AB2">
            <w:pPr>
              <w:pStyle w:val="ListParagraph"/>
              <w:numPr>
                <w:ilvl w:val="0"/>
                <w:numId w:val="12"/>
              </w:numPr>
              <w:ind w:left="234" w:hanging="234"/>
            </w:pPr>
            <w:r w:rsidRPr="00B04420">
              <w:t>Fall HFEs ≤ 45,000 cfs in October or November</w:t>
            </w:r>
          </w:p>
        </w:tc>
        <w:tc>
          <w:tcPr>
            <w:tcW w:w="6192" w:type="dxa"/>
          </w:tcPr>
          <w:p w14:paraId="4537C280" w14:textId="77777777" w:rsidR="00CA468B" w:rsidRPr="00B04420" w:rsidRDefault="00CA468B" w:rsidP="00D23EFE">
            <w:pPr>
              <w:pStyle w:val="ListParagraph"/>
              <w:numPr>
                <w:ilvl w:val="0"/>
                <w:numId w:val="12"/>
              </w:numPr>
              <w:ind w:left="234" w:hanging="234"/>
            </w:pPr>
            <w:r>
              <w:t>Mechanical removal of invasive fish species</w:t>
            </w:r>
          </w:p>
        </w:tc>
      </w:tr>
      <w:tr w:rsidR="00CA468B" w:rsidRPr="00145927" w14:paraId="06223696" w14:textId="77777777" w:rsidTr="00C333C9">
        <w:trPr>
          <w:jc w:val="center"/>
        </w:trPr>
        <w:tc>
          <w:tcPr>
            <w:tcW w:w="6192" w:type="dxa"/>
          </w:tcPr>
          <w:p w14:paraId="7A18DC50" w14:textId="77777777" w:rsidR="00CA468B" w:rsidRPr="00B04420" w:rsidRDefault="00CA468B" w:rsidP="00640AB2">
            <w:pPr>
              <w:pStyle w:val="ListParagraph"/>
              <w:numPr>
                <w:ilvl w:val="0"/>
                <w:numId w:val="12"/>
              </w:numPr>
              <w:ind w:left="234" w:hanging="234"/>
            </w:pPr>
            <w:r w:rsidRPr="00B04420">
              <w:t>Fall HFEs &gt; 96</w:t>
            </w:r>
            <w:r w:rsidRPr="00B04420">
              <w:rPr>
                <w:rFonts w:ascii="Cambria Math" w:hAnsi="Cambria Math" w:cs="Cambria Math"/>
              </w:rPr>
              <w:t>‐</w:t>
            </w:r>
            <w:r w:rsidRPr="00B04420">
              <w:t>hr duration</w:t>
            </w:r>
          </w:p>
        </w:tc>
        <w:tc>
          <w:tcPr>
            <w:tcW w:w="6192" w:type="dxa"/>
          </w:tcPr>
          <w:p w14:paraId="26C8F315" w14:textId="77777777" w:rsidR="00CA468B" w:rsidRPr="00B04420" w:rsidRDefault="00CA468B" w:rsidP="00D23EFE">
            <w:pPr>
              <w:pStyle w:val="ListParagraph"/>
              <w:numPr>
                <w:ilvl w:val="0"/>
                <w:numId w:val="12"/>
              </w:numPr>
              <w:ind w:left="234" w:hanging="234"/>
            </w:pPr>
            <w:r w:rsidRPr="00B04420">
              <w:t>Larval humpback chub head-start program</w:t>
            </w:r>
          </w:p>
        </w:tc>
      </w:tr>
      <w:tr w:rsidR="00CA468B" w:rsidRPr="00145927" w14:paraId="359BF0F5" w14:textId="77777777" w:rsidTr="00C333C9">
        <w:trPr>
          <w:jc w:val="center"/>
        </w:trPr>
        <w:tc>
          <w:tcPr>
            <w:tcW w:w="6192" w:type="dxa"/>
          </w:tcPr>
          <w:p w14:paraId="6994D6AE" w14:textId="77777777" w:rsidR="00CA468B" w:rsidRPr="00B04420" w:rsidRDefault="00CA468B" w:rsidP="00640AB2">
            <w:pPr>
              <w:pStyle w:val="ListParagraph"/>
              <w:numPr>
                <w:ilvl w:val="0"/>
                <w:numId w:val="12"/>
              </w:numPr>
              <w:ind w:left="234" w:hanging="234"/>
            </w:pPr>
            <w:r w:rsidRPr="00B04420">
              <w:t>Trout management flows</w:t>
            </w:r>
          </w:p>
        </w:tc>
        <w:tc>
          <w:tcPr>
            <w:tcW w:w="6192" w:type="dxa"/>
          </w:tcPr>
          <w:p w14:paraId="0DFCC846" w14:textId="7B9D7F4B" w:rsidR="00CA468B" w:rsidRPr="00B04420" w:rsidRDefault="003B7E59" w:rsidP="00D23EFE">
            <w:pPr>
              <w:pStyle w:val="ListParagraph"/>
              <w:numPr>
                <w:ilvl w:val="0"/>
                <w:numId w:val="12"/>
              </w:numPr>
              <w:ind w:left="234" w:hanging="234"/>
            </w:pPr>
            <w:r>
              <w:t>Riparian vegetation restoration</w:t>
            </w:r>
            <w:r w:rsidR="00723C8B">
              <w:t xml:space="preserve"> (not </w:t>
            </w:r>
            <w:r w:rsidR="00F82CF4">
              <w:t>assessed for 2019-20)</w:t>
            </w:r>
          </w:p>
        </w:tc>
      </w:tr>
      <w:tr w:rsidR="00CA468B" w:rsidRPr="00145927" w14:paraId="6D964938" w14:textId="77777777" w:rsidTr="00C333C9">
        <w:trPr>
          <w:jc w:val="center"/>
        </w:trPr>
        <w:tc>
          <w:tcPr>
            <w:tcW w:w="6192" w:type="dxa"/>
          </w:tcPr>
          <w:p w14:paraId="3A77C471" w14:textId="77777777" w:rsidR="00CA468B" w:rsidRPr="00B04420" w:rsidRDefault="00CA468B" w:rsidP="00C333C9">
            <w:pPr>
              <w:pStyle w:val="ListParagraph"/>
              <w:numPr>
                <w:ilvl w:val="0"/>
                <w:numId w:val="12"/>
              </w:numPr>
              <w:ind w:left="234" w:hanging="234"/>
            </w:pPr>
            <w:r w:rsidRPr="00B04420">
              <w:t>Macroinvertebrate production flows</w:t>
            </w:r>
          </w:p>
        </w:tc>
        <w:tc>
          <w:tcPr>
            <w:tcW w:w="6192" w:type="dxa"/>
          </w:tcPr>
          <w:p w14:paraId="1FB7E9EF" w14:textId="2F316527" w:rsidR="00CA468B" w:rsidRPr="00DB6D33" w:rsidRDefault="00723C8B" w:rsidP="008A5DC6">
            <w:pPr>
              <w:pStyle w:val="ListParagraph"/>
              <w:numPr>
                <w:ilvl w:val="0"/>
                <w:numId w:val="12"/>
              </w:numPr>
              <w:ind w:left="272" w:hanging="270"/>
            </w:pPr>
            <w:r>
              <w:t xml:space="preserve">Incentivized harvest (new </w:t>
            </w:r>
            <w:r w:rsidR="00502078">
              <w:t>for</w:t>
            </w:r>
            <w:r w:rsidR="00F82CF4">
              <w:t xml:space="preserve"> 2019-20</w:t>
            </w:r>
            <w:r>
              <w:t>)</w:t>
            </w:r>
          </w:p>
        </w:tc>
      </w:tr>
    </w:tbl>
    <w:p w14:paraId="3983C98D" w14:textId="77777777" w:rsidR="009D02E8" w:rsidRDefault="009D02E8" w:rsidP="00743BE5">
      <w:pPr>
        <w:spacing w:after="0"/>
      </w:pPr>
    </w:p>
    <w:p w14:paraId="0FD808C2" w14:textId="77777777" w:rsidR="00787719" w:rsidRDefault="00824112" w:rsidP="009D02E8">
      <w:r>
        <w:t>Th</w:t>
      </w:r>
      <w:r w:rsidR="00787719">
        <w:t>rough its answers to the three core questions presented above, th</w:t>
      </w:r>
      <w:r>
        <w:t>e present Knowledge Assessment seeks to</w:t>
      </w:r>
      <w:r w:rsidR="00787719">
        <w:t>:</w:t>
      </w:r>
    </w:p>
    <w:p w14:paraId="6DD4A87B" w14:textId="0C84C770" w:rsidR="00787719" w:rsidRDefault="00787719" w:rsidP="00787719">
      <w:pPr>
        <w:pStyle w:val="ListParagraph"/>
        <w:numPr>
          <w:ilvl w:val="0"/>
          <w:numId w:val="11"/>
        </w:numPr>
      </w:pPr>
      <w:r>
        <w:t>Summarize</w:t>
      </w:r>
      <w:r w:rsidRPr="009A334E">
        <w:t xml:space="preserve"> information on status</w:t>
      </w:r>
      <w:r w:rsidR="008F283B">
        <w:t>, trends,</w:t>
      </w:r>
      <w:r w:rsidRPr="009A334E">
        <w:t xml:space="preserve"> and the state of knowledge for </w:t>
      </w:r>
      <w:r w:rsidR="008F283B">
        <w:t xml:space="preserve">the </w:t>
      </w:r>
      <w:r w:rsidR="007E4C47">
        <w:t>nine</w:t>
      </w:r>
      <w:r w:rsidR="007E4C47" w:rsidRPr="009A334E">
        <w:t xml:space="preserve"> </w:t>
      </w:r>
      <w:r w:rsidRPr="009A334E">
        <w:t xml:space="preserve">priority </w:t>
      </w:r>
      <w:r w:rsidR="008F283B">
        <w:t xml:space="preserve">resource </w:t>
      </w:r>
      <w:r w:rsidRPr="009A334E">
        <w:t>topics</w:t>
      </w:r>
      <w:r w:rsidR="008F283B">
        <w:t xml:space="preserve">, from </w:t>
      </w:r>
      <w:r w:rsidR="00F923C8">
        <w:t xml:space="preserve">a </w:t>
      </w:r>
      <w:r w:rsidR="008F283B">
        <w:t>scientific perspective.</w:t>
      </w:r>
    </w:p>
    <w:p w14:paraId="125064C2" w14:textId="77777777" w:rsidR="008F283B" w:rsidRDefault="008F283B" w:rsidP="008F283B">
      <w:pPr>
        <w:pStyle w:val="ListParagraph"/>
        <w:numPr>
          <w:ilvl w:val="0"/>
          <w:numId w:val="11"/>
        </w:numPr>
      </w:pPr>
      <w:r>
        <w:t>Summarize</w:t>
      </w:r>
      <w:r w:rsidRPr="009A334E">
        <w:t xml:space="preserve"> expectations about the likely effects of proposed LTEMP management actions</w:t>
      </w:r>
      <w:r>
        <w:t>.</w:t>
      </w:r>
    </w:p>
    <w:p w14:paraId="31361382" w14:textId="2862532F" w:rsidR="008F283B" w:rsidRDefault="008F283B" w:rsidP="008F283B">
      <w:pPr>
        <w:pStyle w:val="ListParagraph"/>
        <w:numPr>
          <w:ilvl w:val="0"/>
          <w:numId w:val="11"/>
        </w:numPr>
      </w:pPr>
      <w:r>
        <w:t>Document</w:t>
      </w:r>
      <w:r w:rsidRPr="009A334E">
        <w:t xml:space="preserve"> the state of knowledge of how antecedent conditions</w:t>
      </w:r>
      <w:r w:rsidR="00B12672">
        <w:t xml:space="preserve">, as well as </w:t>
      </w:r>
      <w:r w:rsidRPr="009A334E">
        <w:t>external drivers and constraints</w:t>
      </w:r>
      <w:r w:rsidR="00B12672">
        <w:t>,</w:t>
      </w:r>
      <w:r w:rsidRPr="009A334E">
        <w:t xml:space="preserve"> may affect the outcomes of different management actions</w:t>
      </w:r>
      <w:r>
        <w:t>.</w:t>
      </w:r>
    </w:p>
    <w:p w14:paraId="02974270" w14:textId="77777777" w:rsidR="00787719" w:rsidRDefault="00787719" w:rsidP="00787719">
      <w:pPr>
        <w:pStyle w:val="ListParagraph"/>
        <w:numPr>
          <w:ilvl w:val="0"/>
          <w:numId w:val="11"/>
        </w:numPr>
      </w:pPr>
      <w:r>
        <w:t>I</w:t>
      </w:r>
      <w:r w:rsidR="00824112">
        <w:t>dentify</w:t>
      </w:r>
      <w:r w:rsidR="009D02E8" w:rsidRPr="009A334E">
        <w:t xml:space="preserve"> potential needs for continuing, increasing, reducing, revising, or adding monitoring, research, and other information-gathering efforts to address potentially crucial gaps in knowledge</w:t>
      </w:r>
      <w:r>
        <w:t>.</w:t>
      </w:r>
    </w:p>
    <w:p w14:paraId="7FDC7EDA" w14:textId="77777777" w:rsidR="009D02E8" w:rsidRDefault="008F283B">
      <w:r>
        <w:t>The present Knowledge Assessment employs a set of standard tables</w:t>
      </w:r>
      <w:r w:rsidR="00154899">
        <w:t xml:space="preserve"> and methods to ensure consistency in each of these four tasks</w:t>
      </w:r>
      <w:r w:rsidR="00755832">
        <w:t xml:space="preserve"> among the teams of experts who will carry out the actual review and respond to feedback on their results from the remainder of the GCDAMP Technical Work Group</w:t>
      </w:r>
      <w:r w:rsidR="00154899">
        <w:t xml:space="preserve">. This </w:t>
      </w:r>
      <w:r w:rsidR="00824112" w:rsidRPr="009A334E">
        <w:t xml:space="preserve">standard methodology </w:t>
      </w:r>
      <w:r w:rsidR="00154899">
        <w:t xml:space="preserve">in turn will </w:t>
      </w:r>
      <w:r w:rsidR="0001440E">
        <w:t>make it easier to maintain and update</w:t>
      </w:r>
      <w:r w:rsidR="00154899">
        <w:t xml:space="preserve"> the resulting </w:t>
      </w:r>
      <w:r w:rsidR="00824112" w:rsidRPr="009A334E">
        <w:t>information.</w:t>
      </w:r>
      <w:r w:rsidR="00154899">
        <w:t xml:space="preserve"> Future Knowledge Assessments likely will also update these methods.</w:t>
      </w:r>
    </w:p>
    <w:p w14:paraId="48FB6BEE" w14:textId="77777777" w:rsidR="00D914A8" w:rsidRDefault="00522512">
      <w:r>
        <w:t>Th</w:t>
      </w:r>
      <w:r w:rsidR="00154899">
        <w:t>e remainder of th</w:t>
      </w:r>
      <w:r>
        <w:t xml:space="preserve">is document provides guidance for using a set of tables </w:t>
      </w:r>
      <w:r w:rsidR="00755832">
        <w:t xml:space="preserve">and definitions </w:t>
      </w:r>
      <w:r>
        <w:t xml:space="preserve">to carry out the </w:t>
      </w:r>
      <w:r w:rsidR="00077305">
        <w:t>Knowledge Assessment</w:t>
      </w:r>
      <w:r>
        <w:t xml:space="preserve">. These tables allow the preparers </w:t>
      </w:r>
      <w:r w:rsidR="00755832">
        <w:t xml:space="preserve">(expert teams) </w:t>
      </w:r>
      <w:r>
        <w:t>to summarize their answers to the</w:t>
      </w:r>
      <w:r w:rsidR="000D63A4">
        <w:t>se</w:t>
      </w:r>
      <w:r>
        <w:t xml:space="preserve"> three </w:t>
      </w:r>
      <w:r w:rsidR="00077305">
        <w:t xml:space="preserve">sets of </w:t>
      </w:r>
      <w:r>
        <w:t xml:space="preserve">questions for each </w:t>
      </w:r>
      <w:r w:rsidR="0088341B">
        <w:t>resource</w:t>
      </w:r>
      <w:r>
        <w:t xml:space="preserve"> </w:t>
      </w:r>
      <w:r w:rsidR="00294516">
        <w:t>topic, summarize the rationale for their answers, and present recommendations for monitoring and research</w:t>
      </w:r>
      <w:r w:rsidR="000B77A0">
        <w:t xml:space="preserve"> to </w:t>
      </w:r>
      <w:r w:rsidR="0088341B">
        <w:t>address crucial gaps in knowledge</w:t>
      </w:r>
      <w:r w:rsidR="00D914A8">
        <w:t>.</w:t>
      </w:r>
    </w:p>
    <w:p w14:paraId="7068683E" w14:textId="77777777" w:rsidR="00522512" w:rsidRDefault="003851AF" w:rsidP="004344A2">
      <w:pPr>
        <w:pStyle w:val="Heading1"/>
      </w:pPr>
      <w:r>
        <w:t xml:space="preserve">Assessing </w:t>
      </w:r>
      <w:r w:rsidR="00D914A8">
        <w:t>Status and Trend</w:t>
      </w:r>
    </w:p>
    <w:p w14:paraId="70740A1B" w14:textId="77777777" w:rsidR="00F12A74" w:rsidRDefault="00F12A74">
      <w:r>
        <w:t xml:space="preserve">The </w:t>
      </w:r>
      <w:r w:rsidR="00D80174">
        <w:t xml:space="preserve">GCDAMP </w:t>
      </w:r>
      <w:r w:rsidR="002F08CD">
        <w:t xml:space="preserve">knowledge assessment </w:t>
      </w:r>
      <w:r>
        <w:t xml:space="preserve">of status and trend for each </w:t>
      </w:r>
      <w:r w:rsidR="008A07B6">
        <w:t>resource</w:t>
      </w:r>
      <w:r w:rsidR="002F08CD">
        <w:t xml:space="preserve"> topic</w:t>
      </w:r>
      <w:r>
        <w:t xml:space="preserve"> uses a standard table, an image of which is shown below</w:t>
      </w:r>
      <w:r w:rsidR="00D56DFD">
        <w:t xml:space="preserve"> (</w:t>
      </w:r>
      <w:r w:rsidR="00D56DFD" w:rsidRPr="00D6009B">
        <w:rPr>
          <w:i/>
        </w:rPr>
        <w:t>not shown actual size</w:t>
      </w:r>
      <w:r w:rsidR="00D56DFD">
        <w:t>)</w:t>
      </w:r>
      <w:r>
        <w:t xml:space="preserve">. A separate </w:t>
      </w:r>
      <w:r w:rsidR="002F08CD">
        <w:t>spreadsheet</w:t>
      </w:r>
      <w:r>
        <w:t xml:space="preserve"> provides the actual </w:t>
      </w:r>
      <w:r w:rsidR="002860C4">
        <w:t>(blank)</w:t>
      </w:r>
      <w:r>
        <w:t xml:space="preserve"> table template.</w:t>
      </w:r>
      <w:r w:rsidR="00684F22">
        <w:t xml:space="preserve"> The methodology for the review of status and trend is adapted from the methods established by the National Park Service for its Natural Resources Condition Assessments (</w:t>
      </w:r>
      <w:hyperlink r:id="rId12" w:history="1">
        <w:r w:rsidR="00684F22" w:rsidRPr="00D849E0">
          <w:rPr>
            <w:rStyle w:val="Hyperlink"/>
          </w:rPr>
          <w:t>http://www.nature.nps.gov/water/nrca/</w:t>
        </w:r>
      </w:hyperlink>
      <w:r w:rsidR="00741F81">
        <w:t>) (NPS 2014), with some additions</w:t>
      </w:r>
      <w:r w:rsidR="002F08CD">
        <w:t xml:space="preserve"> adapted from </w:t>
      </w:r>
      <w:r w:rsidR="000D63A4">
        <w:t xml:space="preserve">the </w:t>
      </w:r>
      <w:r w:rsidR="008F7903" w:rsidRPr="005026C2">
        <w:t>Sac</w:t>
      </w:r>
      <w:r w:rsidR="008F7903">
        <w:t>ramento-San Joaquin Delta </w:t>
      </w:r>
      <w:r w:rsidR="008F7903" w:rsidRPr="005026C2">
        <w:t>Ecosystem Restoration Program (</w:t>
      </w:r>
      <w:hyperlink r:id="rId13" w:history="1">
        <w:r w:rsidR="008F7903" w:rsidRPr="001D2FD6">
          <w:rPr>
            <w:rStyle w:val="Hyperlink"/>
            <w:rFonts w:eastAsia="Calibri"/>
          </w:rPr>
          <w:t>https://www.dfg.ca.gov/ERP/ conceptual_models.asp</w:t>
        </w:r>
      </w:hyperlink>
      <w:r w:rsidR="008F7903">
        <w:t>) (D</w:t>
      </w:r>
      <w:r w:rsidR="002F08CD" w:rsidRPr="00C35198">
        <w:t>iGennaro et al. 2012</w:t>
      </w:r>
      <w:r w:rsidR="002F08CD">
        <w:t>)</w:t>
      </w:r>
      <w:r w:rsidR="00741F81">
        <w:t>.</w:t>
      </w:r>
    </w:p>
    <w:p w14:paraId="2EB4AA1E" w14:textId="77777777" w:rsidR="002860C4" w:rsidRDefault="003B7E59">
      <w:r w:rsidRPr="003B7E59">
        <w:rPr>
          <w:noProof/>
        </w:rPr>
        <w:drawing>
          <wp:inline distT="0" distB="0" distL="0" distR="0" wp14:anchorId="41548221" wp14:editId="621100A8">
            <wp:extent cx="8595360" cy="897219"/>
            <wp:effectExtent l="19050" t="19050" r="15240" b="177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95360" cy="897219"/>
                    </a:xfrm>
                    <a:prstGeom prst="rect">
                      <a:avLst/>
                    </a:prstGeom>
                    <a:noFill/>
                    <a:ln w="3175">
                      <a:solidFill>
                        <a:schemeClr val="tx1"/>
                      </a:solidFill>
                    </a:ln>
                  </pic:spPr>
                </pic:pic>
              </a:graphicData>
            </a:graphic>
          </wp:inline>
        </w:drawing>
      </w:r>
    </w:p>
    <w:p w14:paraId="63EF018F" w14:textId="77777777" w:rsidR="00894AF2" w:rsidRDefault="00604552">
      <w:r>
        <w:t xml:space="preserve">The table recognizes that GCDAMP investigators typically </w:t>
      </w:r>
      <w:r w:rsidR="00D6009B">
        <w:t>focus on</w:t>
      </w:r>
      <w:r>
        <w:t xml:space="preserve"> several </w:t>
      </w:r>
      <w:r w:rsidR="00D6009B">
        <w:t xml:space="preserve">specific </w:t>
      </w:r>
      <w:r>
        <w:t>characteristics</w:t>
      </w:r>
      <w:r w:rsidR="0037411F">
        <w:t>, conditions,</w:t>
      </w:r>
      <w:r>
        <w:t xml:space="preserve"> </w:t>
      </w:r>
      <w:r w:rsidR="00D6009B">
        <w:t xml:space="preserve">or variables </w:t>
      </w:r>
      <w:r>
        <w:t xml:space="preserve">for each </w:t>
      </w:r>
      <w:r w:rsidR="0088341B">
        <w:t>resource</w:t>
      </w:r>
      <w:r w:rsidR="00D6009B">
        <w:t xml:space="preserve"> topic</w:t>
      </w:r>
      <w:r w:rsidR="0011175C">
        <w:t xml:space="preserve">. </w:t>
      </w:r>
      <w:r w:rsidR="00894AF2">
        <w:t xml:space="preserve">For example, the investigations of sediment focus on </w:t>
      </w:r>
      <w:r w:rsidR="00D011D6">
        <w:t>sandbar area, sediment storage in sandbars and within-channel deposits, both total storage and its spatial distribution</w:t>
      </w:r>
      <w:r w:rsidR="00964807">
        <w:t>, and sediment transport as both suspended sediment and bedload</w:t>
      </w:r>
      <w:r w:rsidR="00D011D6">
        <w:t xml:space="preserve">. </w:t>
      </w:r>
      <w:r w:rsidR="00964807">
        <w:t xml:space="preserve">Similarly, the investigations of the aquatic food base focus on overall </w:t>
      </w:r>
      <w:r w:rsidR="00EA4DE7">
        <w:t xml:space="preserve">biomass </w:t>
      </w:r>
      <w:r w:rsidR="00964807">
        <w:t xml:space="preserve">productivity, overall species diversity, the relative proportions of </w:t>
      </w:r>
      <w:proofErr w:type="gramStart"/>
      <w:r w:rsidR="00964807">
        <w:t>particular species</w:t>
      </w:r>
      <w:proofErr w:type="gramEnd"/>
      <w:r w:rsidR="00964807">
        <w:t xml:space="preserve"> of both algae and aquatic macroinvertebrates</w:t>
      </w:r>
      <w:r w:rsidR="00EA4DE7">
        <w:t>, and how these vary over time and space.</w:t>
      </w:r>
    </w:p>
    <w:p w14:paraId="631BC1C9" w14:textId="1AE7ADC8" w:rsidR="00D1345A" w:rsidRDefault="0011175C">
      <w:r>
        <w:t xml:space="preserve">Additionally, </w:t>
      </w:r>
      <w:r w:rsidR="00D6009B">
        <w:t xml:space="preserve">GCDAMP </w:t>
      </w:r>
      <w:r>
        <w:t>investigators may track each characteristic</w:t>
      </w:r>
      <w:r w:rsidR="0037411F">
        <w:t>, condition,</w:t>
      </w:r>
      <w:r>
        <w:t xml:space="preserve"> </w:t>
      </w:r>
      <w:r w:rsidR="00D6009B">
        <w:t xml:space="preserve">or variable </w:t>
      </w:r>
      <w:r>
        <w:t xml:space="preserve">using one or more </w:t>
      </w:r>
      <w:r w:rsidR="00041CE3">
        <w:t xml:space="preserve">specific, </w:t>
      </w:r>
      <w:r w:rsidRPr="00D1345A">
        <w:rPr>
          <w:i/>
        </w:rPr>
        <w:t>technical measures</w:t>
      </w:r>
      <w:r>
        <w:t xml:space="preserve">. </w:t>
      </w:r>
      <w:r w:rsidR="00367D96">
        <w:t xml:space="preserve">These technical measures </w:t>
      </w:r>
      <w:r w:rsidR="00D1345A">
        <w:t>often are</w:t>
      </w:r>
      <w:r w:rsidR="00367D96">
        <w:t xml:space="preserve"> defined in existing investigative protocols. For example, </w:t>
      </w:r>
      <w:r w:rsidR="00495620">
        <w:t>the assessment of sediment storage described in the current (</w:t>
      </w:r>
      <w:r w:rsidR="003D2404">
        <w:t>FY18</w:t>
      </w:r>
      <w:r w:rsidR="00495620">
        <w:t>-</w:t>
      </w:r>
      <w:r w:rsidR="003D2404">
        <w:t>20</w:t>
      </w:r>
      <w:r w:rsidR="00495620">
        <w:t xml:space="preserve">) Triennial Work Plan relies on a battery of technical measures, </w:t>
      </w:r>
      <w:r w:rsidR="006624D4">
        <w:t xml:space="preserve">including </w:t>
      </w:r>
      <w:r w:rsidR="00611B2E">
        <w:t xml:space="preserve">yearly </w:t>
      </w:r>
      <w:r w:rsidR="006624D4">
        <w:t xml:space="preserve">conventional topographic surveys of volume and area at 47 high-elevation sandbar sites, estimates of area based on </w:t>
      </w:r>
      <w:r w:rsidR="00611B2E">
        <w:t xml:space="preserve">daily imagery from </w:t>
      </w:r>
      <w:r w:rsidR="006624D4">
        <w:t xml:space="preserve">remotely deployed digital cameras at 42 high-elevation sandbar sites, remote sensing of area at </w:t>
      </w:r>
      <w:r w:rsidR="00611B2E">
        <w:t xml:space="preserve">&gt; 1000 high-elevation sandbar sites every four years, conventional topographic surveys of volume and area at high-elevation sandbars in 30 to 80-mile segments every 3 to 10 years, </w:t>
      </w:r>
      <w:r w:rsidR="00401FA4">
        <w:t>and combined bathymetric and topographic surveys of low-elevation fine-sediment storage volume in in 30 to 80-mile segments every 3 to 10 years.</w:t>
      </w:r>
    </w:p>
    <w:p w14:paraId="3AE61902" w14:textId="77777777" w:rsidR="006624D4" w:rsidRDefault="00401FA4">
      <w:r>
        <w:t xml:space="preserve">However, previous investigations may not yet have defined technical measures for all </w:t>
      </w:r>
      <w:r w:rsidR="00C761C2">
        <w:t xml:space="preserve">specific characteristics, conditions, or variables of interest for each resource topic. In these latter circumstances, </w:t>
      </w:r>
      <w:r w:rsidR="00AB07BC">
        <w:t xml:space="preserve">whenever possible, </w:t>
      </w:r>
      <w:r w:rsidR="00C761C2">
        <w:t xml:space="preserve">the person or team preparing the status/trend table for the resource topic should </w:t>
      </w:r>
      <w:r w:rsidR="00AB07BC">
        <w:t xml:space="preserve">identify one or more technical measures that could </w:t>
      </w:r>
      <w:r w:rsidR="00C761C2">
        <w:t>provide information on the specific characteristics, conditions, or variables of interest</w:t>
      </w:r>
      <w:r w:rsidR="00AB07BC">
        <w:t xml:space="preserve">. A subsequent rating of “Low” for confidence (see below) should then reflect the absence of established or well-defined technical measures for </w:t>
      </w:r>
      <w:r w:rsidR="00532210">
        <w:t>the characteristics, conditions, or variables of interest.</w:t>
      </w:r>
    </w:p>
    <w:p w14:paraId="7092984C" w14:textId="77777777" w:rsidR="0052234C" w:rsidRDefault="00041CE3">
      <w:r>
        <w:t xml:space="preserve">The </w:t>
      </w:r>
      <w:r w:rsidR="0037411F">
        <w:t xml:space="preserve">person or team preparing the </w:t>
      </w:r>
      <w:r w:rsidR="00532210">
        <w:t xml:space="preserve">status/trend </w:t>
      </w:r>
      <w:r w:rsidR="0037411F">
        <w:t xml:space="preserve">table for an individual </w:t>
      </w:r>
      <w:r w:rsidR="00367D96">
        <w:t>resource</w:t>
      </w:r>
      <w:r w:rsidR="0037411F">
        <w:t xml:space="preserve"> topic </w:t>
      </w:r>
      <w:r w:rsidR="0011175C">
        <w:t xml:space="preserve">must </w:t>
      </w:r>
      <w:r w:rsidR="0037411F">
        <w:t>assess</w:t>
      </w:r>
      <w:r>
        <w:t xml:space="preserve"> present understanding of </w:t>
      </w:r>
      <w:r w:rsidRPr="00041CE3">
        <w:rPr>
          <w:i/>
        </w:rPr>
        <w:t>each technical measure</w:t>
      </w:r>
      <w:r>
        <w:t xml:space="preserve"> on three dimensions</w:t>
      </w:r>
      <w:r w:rsidR="00F82212">
        <w:t>:</w:t>
      </w:r>
      <w:r>
        <w:t xml:space="preserve"> </w:t>
      </w:r>
      <w:r w:rsidR="0037411F">
        <w:t xml:space="preserve">the current </w:t>
      </w:r>
      <w:r w:rsidR="00706624">
        <w:t>status</w:t>
      </w:r>
      <w:r w:rsidR="0037411F">
        <w:t xml:space="preserve"> of the characteristic, condition, or variable; any trend(s) in this </w:t>
      </w:r>
      <w:r w:rsidR="00706624">
        <w:t>status</w:t>
      </w:r>
      <w:r w:rsidR="001A1F9F">
        <w:t>;</w:t>
      </w:r>
      <w:r w:rsidR="00706624">
        <w:t xml:space="preserve"> and confidence in the status and trend assessments.</w:t>
      </w:r>
      <w:r w:rsidR="0037411F">
        <w:t xml:space="preserve"> </w:t>
      </w:r>
      <w:r w:rsidR="001A1F9F">
        <w:t xml:space="preserve">The person or team preparing the table for an individual </w:t>
      </w:r>
      <w:r w:rsidR="008A07B6">
        <w:t>resource topic</w:t>
      </w:r>
      <w:r w:rsidR="001A1F9F">
        <w:t xml:space="preserve"> also must </w:t>
      </w:r>
      <w:r w:rsidR="0037411F">
        <w:t xml:space="preserve">provide </w:t>
      </w:r>
      <w:r w:rsidR="00247C95">
        <w:t xml:space="preserve">a </w:t>
      </w:r>
      <w:r w:rsidR="001A1F9F">
        <w:t xml:space="preserve">brief </w:t>
      </w:r>
      <w:r w:rsidR="0037411F">
        <w:t xml:space="preserve">rationale for the resulting </w:t>
      </w:r>
      <w:r w:rsidR="001A1F9F">
        <w:t xml:space="preserve">ratings for status/trend and confidence; and may also offer recommendations for monitoring and research to </w:t>
      </w:r>
      <w:r w:rsidR="00851A50">
        <w:t>ad</w:t>
      </w:r>
      <w:r w:rsidR="003B7E59">
        <w:t>dress crucial gaps in knowledge</w:t>
      </w:r>
      <w:r w:rsidR="0037411F">
        <w:t xml:space="preserve">. </w:t>
      </w:r>
    </w:p>
    <w:p w14:paraId="285A252A" w14:textId="1CE2EBAD" w:rsidR="00525408" w:rsidRDefault="0052234C">
      <w:r>
        <w:t xml:space="preserve">Note, </w:t>
      </w:r>
      <w:r w:rsidR="00C53A33">
        <w:t xml:space="preserve">the person or team preparing the status/trend table should </w:t>
      </w:r>
      <w:r w:rsidR="00A30B99">
        <w:t xml:space="preserve">include </w:t>
      </w:r>
      <w:r w:rsidR="00DE7BB6">
        <w:t xml:space="preserve">the most important but least number of </w:t>
      </w:r>
      <w:r w:rsidR="00AE7BC0">
        <w:t>resource character</w:t>
      </w:r>
      <w:r w:rsidR="003405B3">
        <w:t>istics and technical meas</w:t>
      </w:r>
      <w:r w:rsidR="00DE7BB6">
        <w:t xml:space="preserve">ures as is feasible.  </w:t>
      </w:r>
      <w:r w:rsidR="00933E28">
        <w:t>An o</w:t>
      </w:r>
      <w:r w:rsidR="00F42E37">
        <w:t>utcome of this approach is that</w:t>
      </w:r>
      <w:r w:rsidR="009A0880">
        <w:t xml:space="preserve"> some characteristics that have </w:t>
      </w:r>
      <w:r w:rsidR="00F42E37">
        <w:t>importance will</w:t>
      </w:r>
      <w:r w:rsidR="009A0880">
        <w:t xml:space="preserve"> </w:t>
      </w:r>
      <w:r w:rsidR="007F1AAE">
        <w:t>not be included</w:t>
      </w:r>
      <w:r w:rsidR="00DF6816">
        <w:t xml:space="preserve"> which may be a cause for concern.  </w:t>
      </w:r>
      <w:r w:rsidR="007F1AAE">
        <w:t xml:space="preserve">A lesson learned from the 2017 Knowledge Assessment, however, was that </w:t>
      </w:r>
      <w:r w:rsidR="00B46D97">
        <w:t>having</w:t>
      </w:r>
      <w:r w:rsidR="00A30B99">
        <w:t xml:space="preserve"> too many resource characteristics and techincal measures</w:t>
      </w:r>
      <w:r w:rsidR="00B824C8">
        <w:t xml:space="preserve"> </w:t>
      </w:r>
      <w:r w:rsidR="00B46D97">
        <w:t xml:space="preserve">is </w:t>
      </w:r>
      <w:r w:rsidR="0086423A">
        <w:t xml:space="preserve">a </w:t>
      </w:r>
      <w:r w:rsidR="00B46D97">
        <w:t>concern</w:t>
      </w:r>
      <w:r w:rsidR="000E7070">
        <w:t xml:space="preserve"> because the </w:t>
      </w:r>
      <w:r w:rsidR="00C202FF">
        <w:t xml:space="preserve">large </w:t>
      </w:r>
      <w:r w:rsidR="000E7070">
        <w:t>amount</w:t>
      </w:r>
      <w:r w:rsidR="00C255EF">
        <w:t xml:space="preserve"> of information </w:t>
      </w:r>
      <w:r w:rsidR="00833360">
        <w:t>is itself an obstacle for understanding.  The present Knowledge Assessment aims to test a different approach to determine</w:t>
      </w:r>
      <w:r w:rsidR="000E7070">
        <w:t xml:space="preserve"> </w:t>
      </w:r>
      <w:r w:rsidR="00833360">
        <w:t xml:space="preserve">if </w:t>
      </w:r>
      <w:r w:rsidR="00E84A4E">
        <w:t xml:space="preserve">the information can be made more </w:t>
      </w:r>
      <w:r w:rsidR="00833360">
        <w:t xml:space="preserve">useful.  </w:t>
      </w:r>
      <w:r w:rsidR="0037411F">
        <w:t xml:space="preserve">The </w:t>
      </w:r>
      <w:r w:rsidR="001A1F9F">
        <w:t>definitions and rating levels for assessing status, trend</w:t>
      </w:r>
      <w:r w:rsidR="003B7E59">
        <w:t>, and confidence are as follows:</w:t>
      </w:r>
    </w:p>
    <w:p w14:paraId="25508205" w14:textId="77777777" w:rsidR="00551CBB" w:rsidRDefault="008F5EDE" w:rsidP="008F5EDE">
      <w:pPr>
        <w:pStyle w:val="Heading2"/>
      </w:pPr>
      <w:r>
        <w:t>Status</w:t>
      </w:r>
      <w:r w:rsidR="003851AF">
        <w:t xml:space="preserve"> (Rating Definitions)</w:t>
      </w:r>
    </w:p>
    <w:p w14:paraId="1C98B16A" w14:textId="77777777" w:rsidR="004F4C69" w:rsidRPr="004F4C69" w:rsidRDefault="004F4C69" w:rsidP="008A5DC6">
      <w:r>
        <w:t>Note, some but not all resource topics have formal condition targets, therefore, resource topics that have undefined condition targets should be identified as “Unknown” (see “Unknown” definition below).</w:t>
      </w:r>
    </w:p>
    <w:p w14:paraId="28DB00CF" w14:textId="77777777" w:rsidR="00551CBB" w:rsidRDefault="00E2754E" w:rsidP="008F5EDE">
      <w:pPr>
        <w:pStyle w:val="ListParagraph"/>
        <w:numPr>
          <w:ilvl w:val="0"/>
          <w:numId w:val="3"/>
        </w:numPr>
      </w:pPr>
      <w:bookmarkStart w:id="1" w:name="OLE_LINK1"/>
      <w:r>
        <w:rPr>
          <w:u w:val="single"/>
        </w:rPr>
        <w:t xml:space="preserve">Resource is in </w:t>
      </w:r>
      <w:r w:rsidR="008F5EDE" w:rsidRPr="008F5EDE">
        <w:rPr>
          <w:u w:val="single"/>
        </w:rPr>
        <w:t>Good Condition</w:t>
      </w:r>
      <w:r w:rsidR="008F5EDE">
        <w:t>: The resource characteristic, or its specific technical measure, lies within an acceptable range of condition. This range may be a reference range, or a target specified in some management policy</w:t>
      </w:r>
      <w:r w:rsidR="00F30451">
        <w:t xml:space="preserve"> or </w:t>
      </w:r>
      <w:r w:rsidR="00532210">
        <w:t>guidance.</w:t>
      </w:r>
    </w:p>
    <w:p w14:paraId="74BABBBE" w14:textId="77777777" w:rsidR="008F5EDE" w:rsidRDefault="00684F22" w:rsidP="00684F22">
      <w:pPr>
        <w:pStyle w:val="ListParagraph"/>
        <w:numPr>
          <w:ilvl w:val="0"/>
          <w:numId w:val="3"/>
        </w:numPr>
      </w:pPr>
      <w:r w:rsidRPr="00684F22">
        <w:rPr>
          <w:u w:val="single"/>
        </w:rPr>
        <w:t>Condition Warrants Moderate Concern</w:t>
      </w:r>
      <w:r>
        <w:t xml:space="preserve">: The resource characteristic, or its specific technical measure, lies outside </w:t>
      </w:r>
      <w:r w:rsidR="00F30451">
        <w:t>its</w:t>
      </w:r>
      <w:r>
        <w:t xml:space="preserve"> acceptable </w:t>
      </w:r>
      <w:r w:rsidR="00F30451">
        <w:t xml:space="preserve">range of condition but could be improved through the application of existing management </w:t>
      </w:r>
      <w:r w:rsidR="00327DA2">
        <w:t>methods without significant changes in management policies or expenditures</w:t>
      </w:r>
      <w:r w:rsidR="00F30451">
        <w:t>.</w:t>
      </w:r>
    </w:p>
    <w:p w14:paraId="3AC17138" w14:textId="77777777" w:rsidR="00327DA2" w:rsidRDefault="00327DA2" w:rsidP="00327DA2">
      <w:pPr>
        <w:pStyle w:val="ListParagraph"/>
        <w:numPr>
          <w:ilvl w:val="0"/>
          <w:numId w:val="3"/>
        </w:numPr>
      </w:pPr>
      <w:r w:rsidRPr="00684F22">
        <w:rPr>
          <w:u w:val="single"/>
        </w:rPr>
        <w:t xml:space="preserve">Condition Warrants </w:t>
      </w:r>
      <w:r>
        <w:rPr>
          <w:u w:val="single"/>
        </w:rPr>
        <w:t>Significant</w:t>
      </w:r>
      <w:r w:rsidRPr="00684F22">
        <w:rPr>
          <w:u w:val="single"/>
        </w:rPr>
        <w:t xml:space="preserve"> Concern</w:t>
      </w:r>
      <w:r>
        <w:t>: The resource characteristic, or its specific technical measure, lies outside its acceptable range of condition and cannot be improved through the application of existing management methods without significant changes in management policies or expenditures.</w:t>
      </w:r>
    </w:p>
    <w:p w14:paraId="2A213B4D" w14:textId="77777777" w:rsidR="00912DBF" w:rsidRDefault="00507EB5" w:rsidP="00507EB5">
      <w:pPr>
        <w:pStyle w:val="ListParagraph"/>
        <w:numPr>
          <w:ilvl w:val="0"/>
          <w:numId w:val="3"/>
        </w:numPr>
      </w:pPr>
      <w:r>
        <w:rPr>
          <w:u w:val="single"/>
        </w:rPr>
        <w:t>Unknown</w:t>
      </w:r>
      <w:r w:rsidR="002D319B">
        <w:t xml:space="preserve">: </w:t>
      </w:r>
      <w:r w:rsidR="00005A07">
        <w:t xml:space="preserve">(1) There is not </w:t>
      </w:r>
      <w:proofErr w:type="gramStart"/>
      <w:r w:rsidR="00005A07">
        <w:t>s</w:t>
      </w:r>
      <w:r w:rsidRPr="00507EB5">
        <w:t>ufficient</w:t>
      </w:r>
      <w:proofErr w:type="gramEnd"/>
      <w:r w:rsidRPr="00507EB5">
        <w:t xml:space="preserve"> information </w:t>
      </w:r>
      <w:r w:rsidR="00005A07">
        <w:t>about</w:t>
      </w:r>
      <w:r w:rsidRPr="00507EB5">
        <w:t xml:space="preserve"> the resource characteristic or its specific technical measure, to assess for evidence of status. This rating typically </w:t>
      </w:r>
      <w:r w:rsidR="00005A07">
        <w:t>calls for</w:t>
      </w:r>
      <w:r w:rsidRPr="00507EB5">
        <w:t xml:space="preserve"> ratings of </w:t>
      </w:r>
      <w:r>
        <w:t>“U</w:t>
      </w:r>
      <w:r w:rsidRPr="00507EB5">
        <w:t>nknown</w:t>
      </w:r>
      <w:r>
        <w:t>”</w:t>
      </w:r>
      <w:r w:rsidRPr="00507EB5">
        <w:t xml:space="preserve"> for </w:t>
      </w:r>
      <w:r>
        <w:t>trend</w:t>
      </w:r>
      <w:r w:rsidRPr="00507EB5">
        <w:t xml:space="preserve"> and </w:t>
      </w:r>
      <w:r>
        <w:t>“L</w:t>
      </w:r>
      <w:r w:rsidRPr="00507EB5">
        <w:t>ow</w:t>
      </w:r>
      <w:r>
        <w:t>”</w:t>
      </w:r>
      <w:r w:rsidRPr="00507EB5">
        <w:t xml:space="preserve"> for confidence. However, in some cases it may be possible to assess trend but not status. In such cases the user must explain why it is possible to assess trend but not status. </w:t>
      </w:r>
      <w:r w:rsidR="00005A07">
        <w:t>Or</w:t>
      </w:r>
      <w:r w:rsidRPr="00507EB5">
        <w:t xml:space="preserve"> </w:t>
      </w:r>
      <w:r w:rsidR="00005A07">
        <w:t xml:space="preserve">(2) </w:t>
      </w:r>
      <w:r w:rsidRPr="00507EB5">
        <w:t>the acceptable range of condition has not yet been defined for the resource characteristic or its specific technical measure.</w:t>
      </w:r>
    </w:p>
    <w:bookmarkEnd w:id="1"/>
    <w:p w14:paraId="57ECB729" w14:textId="77777777" w:rsidR="00327DA2" w:rsidRDefault="00327DA2" w:rsidP="00327DA2">
      <w:pPr>
        <w:pStyle w:val="Heading2"/>
      </w:pPr>
      <w:r>
        <w:t xml:space="preserve">Trend </w:t>
      </w:r>
      <w:r w:rsidR="003851AF">
        <w:t>(Rating Definitions)</w:t>
      </w:r>
    </w:p>
    <w:p w14:paraId="2F3B96F5" w14:textId="32C8CAE6" w:rsidR="002C5EFA" w:rsidRPr="002C5EFA" w:rsidRDefault="002C5EFA" w:rsidP="008A5DC6">
      <w:r>
        <w:t xml:space="preserve">Note, resource </w:t>
      </w:r>
      <w:r w:rsidR="008A5DC6">
        <w:t>topic trends</w:t>
      </w:r>
      <w:r>
        <w:t xml:space="preserve"> are not to be evaluated as “Improving” or “Deteriorating” as was used in the 2017 Knowledge Assessment.  Instead, trends should be evaluated as “Increasing” or “Decreasing” (see definitions below). </w:t>
      </w:r>
    </w:p>
    <w:p w14:paraId="1C1B0089" w14:textId="68DD19A4" w:rsidR="00327DA2" w:rsidRDefault="00327DA2" w:rsidP="00327DA2">
      <w:pPr>
        <w:pStyle w:val="ListParagraph"/>
        <w:numPr>
          <w:ilvl w:val="0"/>
          <w:numId w:val="4"/>
        </w:numPr>
      </w:pPr>
      <w:bookmarkStart w:id="2" w:name="OLE_LINK2"/>
      <w:r w:rsidRPr="00327DA2">
        <w:rPr>
          <w:u w:val="single"/>
        </w:rPr>
        <w:t xml:space="preserve">Condition is </w:t>
      </w:r>
      <w:r w:rsidR="002C5EFA">
        <w:rPr>
          <w:u w:val="single"/>
        </w:rPr>
        <w:t>Increasing</w:t>
      </w:r>
      <w:r>
        <w:t xml:space="preserve">: The resource characteristic, or its specific technical measure, </w:t>
      </w:r>
      <w:r w:rsidR="00E2754E">
        <w:t>shows a</w:t>
      </w:r>
      <w:r w:rsidR="002C5EFA">
        <w:t>n increasing</w:t>
      </w:r>
      <w:r w:rsidR="00E2754E">
        <w:t xml:space="preserve"> trend </w:t>
      </w:r>
      <w:r w:rsidR="002C5EFA">
        <w:t xml:space="preserve">since the 2017 Knowledge Assessment or, if a condition target exists, </w:t>
      </w:r>
      <w:r w:rsidR="00E2754E">
        <w:t>toward or further into its</w:t>
      </w:r>
      <w:r>
        <w:t xml:space="preserve"> acceptable </w:t>
      </w:r>
      <w:r w:rsidR="00E2754E">
        <w:t>range of condition.</w:t>
      </w:r>
    </w:p>
    <w:p w14:paraId="52F03ED7" w14:textId="77777777" w:rsidR="00E2754E" w:rsidRDefault="00E2754E" w:rsidP="00E2754E">
      <w:pPr>
        <w:pStyle w:val="ListParagraph"/>
        <w:numPr>
          <w:ilvl w:val="0"/>
          <w:numId w:val="4"/>
        </w:numPr>
      </w:pPr>
      <w:r w:rsidRPr="00327DA2">
        <w:rPr>
          <w:u w:val="single"/>
        </w:rPr>
        <w:t xml:space="preserve">Condition is </w:t>
      </w:r>
      <w:r>
        <w:rPr>
          <w:u w:val="single"/>
        </w:rPr>
        <w:t>Unchanging</w:t>
      </w:r>
      <w:r>
        <w:t xml:space="preserve">: The resource characteristic, or its specific technical measure, shows no trend </w:t>
      </w:r>
      <w:r w:rsidR="002C5EFA">
        <w:t xml:space="preserve">since the 2017 Knowledge Assessment, or if a condition target exists, no trend </w:t>
      </w:r>
      <w:r w:rsidR="00280B72">
        <w:t xml:space="preserve">of </w:t>
      </w:r>
      <w:r>
        <w:t>either improvement or deterioration in condition.</w:t>
      </w:r>
    </w:p>
    <w:p w14:paraId="65A7AB59" w14:textId="052D92D5" w:rsidR="00E2754E" w:rsidRDefault="00E2754E" w:rsidP="00E2754E">
      <w:pPr>
        <w:pStyle w:val="ListParagraph"/>
        <w:numPr>
          <w:ilvl w:val="0"/>
          <w:numId w:val="4"/>
        </w:numPr>
      </w:pPr>
      <w:r w:rsidRPr="00327DA2">
        <w:rPr>
          <w:u w:val="single"/>
        </w:rPr>
        <w:t xml:space="preserve">Condition is </w:t>
      </w:r>
      <w:r w:rsidR="002C5EFA">
        <w:rPr>
          <w:u w:val="single"/>
        </w:rPr>
        <w:t>Decreasing</w:t>
      </w:r>
      <w:r>
        <w:t xml:space="preserve">: The resource characteristic, or its specific technical measure, shows a </w:t>
      </w:r>
      <w:r w:rsidR="002C5EFA">
        <w:t xml:space="preserve">decreasing </w:t>
      </w:r>
      <w:r>
        <w:t xml:space="preserve">trend </w:t>
      </w:r>
      <w:r w:rsidR="002C5EFA">
        <w:t xml:space="preserve">since the 2017 Knowledge Assessment, or if a condition target exists, </w:t>
      </w:r>
      <w:r>
        <w:t>away or departing from its acceptable range of condition.</w:t>
      </w:r>
    </w:p>
    <w:p w14:paraId="6C656F17" w14:textId="77777777" w:rsidR="00912DBF" w:rsidRDefault="00912DBF" w:rsidP="00507EB5">
      <w:pPr>
        <w:pStyle w:val="ListParagraph"/>
        <w:numPr>
          <w:ilvl w:val="0"/>
          <w:numId w:val="4"/>
        </w:numPr>
      </w:pPr>
      <w:r>
        <w:rPr>
          <w:u w:val="single"/>
        </w:rPr>
        <w:t>Unknown</w:t>
      </w:r>
      <w:r>
        <w:t xml:space="preserve">: </w:t>
      </w:r>
      <w:r w:rsidR="00814F6A">
        <w:t xml:space="preserve">There is not </w:t>
      </w:r>
      <w:proofErr w:type="gramStart"/>
      <w:r w:rsidR="00814F6A">
        <w:t>s</w:t>
      </w:r>
      <w:r w:rsidR="00814F6A" w:rsidRPr="00507EB5">
        <w:t>ufficient</w:t>
      </w:r>
      <w:proofErr w:type="gramEnd"/>
      <w:r w:rsidR="00814F6A" w:rsidRPr="00507EB5">
        <w:t xml:space="preserve"> information </w:t>
      </w:r>
      <w:r w:rsidR="00814F6A">
        <w:t>about</w:t>
      </w:r>
      <w:r w:rsidR="00814F6A" w:rsidRPr="00507EB5">
        <w:t xml:space="preserve"> the resource characteristic or its specific technical measure</w:t>
      </w:r>
      <w:r w:rsidR="00507EB5" w:rsidRPr="00507EB5">
        <w:t>, to assess for evidence of any trend.</w:t>
      </w:r>
    </w:p>
    <w:bookmarkEnd w:id="2"/>
    <w:p w14:paraId="0A63A591" w14:textId="77777777" w:rsidR="00EC3449" w:rsidRDefault="003851AF" w:rsidP="00EC3449">
      <w:pPr>
        <w:pStyle w:val="Heading2"/>
        <w:ind w:left="720" w:hanging="720"/>
      </w:pPr>
      <w:r>
        <w:t>Confidence (Rating Definitions)</w:t>
      </w:r>
    </w:p>
    <w:p w14:paraId="2BD367D8" w14:textId="77777777" w:rsidR="00150CFE" w:rsidRPr="00150CFE" w:rsidRDefault="00150CFE" w:rsidP="008A5DC6">
      <w:r>
        <w:t>Note, not all sources of evidence or knowledge bear equal weight.  It is critical for the resource teams to strictly follow the definitions below.</w:t>
      </w:r>
    </w:p>
    <w:p w14:paraId="68439DD6" w14:textId="77777777" w:rsidR="00861A51" w:rsidRDefault="00D33C48" w:rsidP="00D33C48">
      <w:pPr>
        <w:pStyle w:val="ListParagraph"/>
        <w:numPr>
          <w:ilvl w:val="0"/>
          <w:numId w:val="5"/>
        </w:numPr>
      </w:pPr>
      <w:bookmarkStart w:id="3" w:name="OLE_LINK3"/>
      <w:r w:rsidRPr="00D33C48">
        <w:rPr>
          <w:u w:val="single"/>
        </w:rPr>
        <w:t>High</w:t>
      </w:r>
      <w:r>
        <w:t>: Current u</w:t>
      </w:r>
      <w:r w:rsidRPr="00D33C48">
        <w:t xml:space="preserve">nderstanding of </w:t>
      </w:r>
      <w:r>
        <w:t>status and trend</w:t>
      </w:r>
      <w:r w:rsidRPr="00D33C48">
        <w:t xml:space="preserve"> is subject to little or no disagreement or uncertainty </w:t>
      </w:r>
      <w:r w:rsidR="00791B46">
        <w:t xml:space="preserve">among investigators and </w:t>
      </w:r>
      <w:r w:rsidRPr="00D33C48">
        <w:t>in peer-reviewed studies</w:t>
      </w:r>
      <w:r w:rsidR="00791B46">
        <w:t xml:space="preserve">; </w:t>
      </w:r>
      <w:r w:rsidR="0027132C">
        <w:t>is support</w:t>
      </w:r>
      <w:r w:rsidR="008B0574">
        <w:t xml:space="preserve">ed by substantial, high-quality, documented </w:t>
      </w:r>
      <w:r w:rsidR="00230180">
        <w:t xml:space="preserve">expert knowledge and/or </w:t>
      </w:r>
      <w:r w:rsidR="0027132C">
        <w:t>evidence and</w:t>
      </w:r>
      <w:r w:rsidR="00791584">
        <w:t>, where appropriate, by</w:t>
      </w:r>
      <w:r w:rsidR="0027132C">
        <w:t xml:space="preserve"> well-accepted statistical analyses; </w:t>
      </w:r>
      <w:r w:rsidR="00791B46">
        <w:t xml:space="preserve">and is consistent with </w:t>
      </w:r>
      <w:r w:rsidR="00840D9A">
        <w:t>w</w:t>
      </w:r>
      <w:r w:rsidRPr="00D33C48">
        <w:t xml:space="preserve">ell-accepted principles </w:t>
      </w:r>
      <w:r w:rsidR="00791B46">
        <w:t xml:space="preserve">in the relevant fields of knowledge </w:t>
      </w:r>
      <w:r w:rsidRPr="00D33C48">
        <w:t xml:space="preserve">and/or </w:t>
      </w:r>
      <w:r w:rsidR="003851AF">
        <w:t xml:space="preserve">with </w:t>
      </w:r>
      <w:r w:rsidRPr="00D33C48">
        <w:t>studies in highly analogous systems.</w:t>
      </w:r>
    </w:p>
    <w:p w14:paraId="050B08D1" w14:textId="77777777" w:rsidR="002B5031" w:rsidRDefault="002B5031" w:rsidP="002B5031">
      <w:pPr>
        <w:pStyle w:val="ListParagraph"/>
        <w:numPr>
          <w:ilvl w:val="0"/>
          <w:numId w:val="5"/>
        </w:numPr>
      </w:pPr>
      <w:r>
        <w:rPr>
          <w:u w:val="single"/>
        </w:rPr>
        <w:t>Medium</w:t>
      </w:r>
      <w:r w:rsidRPr="00791B46">
        <w:t>:</w:t>
      </w:r>
      <w:r>
        <w:t xml:space="preserve"> Current u</w:t>
      </w:r>
      <w:r w:rsidRPr="00D33C48">
        <w:t xml:space="preserve">nderstanding of </w:t>
      </w:r>
      <w:r w:rsidR="00792482">
        <w:t>status and trend</w:t>
      </w:r>
      <w:r w:rsidRPr="00D33C48">
        <w:t xml:space="preserve"> is subject to </w:t>
      </w:r>
      <w:r>
        <w:t>moderate</w:t>
      </w:r>
      <w:r w:rsidRPr="00D33C48">
        <w:t xml:space="preserve"> disagreement or uncertainty </w:t>
      </w:r>
      <w:r>
        <w:t xml:space="preserve">among investigators and among </w:t>
      </w:r>
      <w:r w:rsidRPr="00D33C48">
        <w:t>peer-reviewed studies</w:t>
      </w:r>
      <w:r>
        <w:t xml:space="preserve">; and is supported by some </w:t>
      </w:r>
      <w:r w:rsidR="008B0574">
        <w:t xml:space="preserve">documented </w:t>
      </w:r>
      <w:r>
        <w:t xml:space="preserve">expert knowledge and/or evidence and analyses. The expert knowledge and/or evidence and analyses may be limited or subject to methodological weaknesses, but nevertheless may be consistent with </w:t>
      </w:r>
      <w:r w:rsidRPr="00D33C48">
        <w:t xml:space="preserve">well-accepted principles </w:t>
      </w:r>
      <w:r>
        <w:t xml:space="preserve">in the relevant fields of knowledge </w:t>
      </w:r>
      <w:r w:rsidRPr="00D33C48">
        <w:t xml:space="preserve">and/or </w:t>
      </w:r>
      <w:r>
        <w:t xml:space="preserve">with </w:t>
      </w:r>
      <w:r w:rsidRPr="00D33C48">
        <w:t>studies in highly analogous systems.</w:t>
      </w:r>
    </w:p>
    <w:p w14:paraId="135DE6E3" w14:textId="77777777" w:rsidR="0027132C" w:rsidRDefault="0027132C" w:rsidP="00F3334B">
      <w:pPr>
        <w:pStyle w:val="ListParagraph"/>
        <w:numPr>
          <w:ilvl w:val="0"/>
          <w:numId w:val="5"/>
        </w:numPr>
      </w:pPr>
      <w:r>
        <w:rPr>
          <w:u w:val="single"/>
        </w:rPr>
        <w:t>Low</w:t>
      </w:r>
      <w:r w:rsidRPr="0027132C">
        <w:t>:</w:t>
      </w:r>
      <w:r>
        <w:t xml:space="preserve"> </w:t>
      </w:r>
      <w:r w:rsidR="00E9514A">
        <w:t>Current u</w:t>
      </w:r>
      <w:r w:rsidR="00E9514A" w:rsidRPr="00D33C48">
        <w:t xml:space="preserve">nderstanding of </w:t>
      </w:r>
      <w:r w:rsidR="00E9514A">
        <w:t>status and trend</w:t>
      </w:r>
      <w:r w:rsidR="00E9514A" w:rsidRPr="00D33C48">
        <w:t xml:space="preserve"> is subject to </w:t>
      </w:r>
      <w:r w:rsidR="00E9514A">
        <w:t>substantial</w:t>
      </w:r>
      <w:r w:rsidR="00E9514A" w:rsidRPr="00D33C48">
        <w:t xml:space="preserve"> disagreement or uncertainty </w:t>
      </w:r>
      <w:r w:rsidR="00E9514A">
        <w:t xml:space="preserve">among investigators and among </w:t>
      </w:r>
      <w:r w:rsidR="00E9514A" w:rsidRPr="00D33C48">
        <w:t>peer-reviewed studies</w:t>
      </w:r>
      <w:r w:rsidR="00E9514A">
        <w:t xml:space="preserve">; is supported by only limited </w:t>
      </w:r>
      <w:r w:rsidR="008B0574">
        <w:t xml:space="preserve">or undocumented </w:t>
      </w:r>
      <w:r w:rsidR="00230180">
        <w:t xml:space="preserve">expert knowledge and/or </w:t>
      </w:r>
      <w:r w:rsidR="00E9514A">
        <w:t xml:space="preserve">evidence and analyses that may also be subject to methodological weaknesses; and may be inconsistent with </w:t>
      </w:r>
      <w:r w:rsidR="00E9514A" w:rsidRPr="00D33C48">
        <w:t xml:space="preserve">well-accepted principles </w:t>
      </w:r>
      <w:r w:rsidR="00E9514A">
        <w:t xml:space="preserve">in the relevant fields of knowledge </w:t>
      </w:r>
      <w:r w:rsidR="00E9514A" w:rsidRPr="00D33C48">
        <w:t xml:space="preserve">and/or </w:t>
      </w:r>
      <w:r w:rsidR="003851AF">
        <w:t xml:space="preserve">with </w:t>
      </w:r>
      <w:r w:rsidR="00E9514A" w:rsidRPr="00D33C48">
        <w:t>studies in highly analogous systems.</w:t>
      </w:r>
      <w:r w:rsidR="00F3334B">
        <w:t xml:space="preserve"> </w:t>
      </w:r>
      <w:r w:rsidR="00F3334B" w:rsidRPr="00F3334B">
        <w:t xml:space="preserve">Ratings of </w:t>
      </w:r>
      <w:r w:rsidR="00F3334B">
        <w:t>“U</w:t>
      </w:r>
      <w:r w:rsidR="00F3334B" w:rsidRPr="00F3334B">
        <w:t>nknown</w:t>
      </w:r>
      <w:r w:rsidR="00F3334B">
        <w:t>”</w:t>
      </w:r>
      <w:r w:rsidR="00F3334B" w:rsidRPr="00F3334B">
        <w:t xml:space="preserve"> for status and/or trend typically receive ratings of </w:t>
      </w:r>
      <w:r w:rsidR="00F3334B">
        <w:t>“L</w:t>
      </w:r>
      <w:r w:rsidR="00F3334B" w:rsidRPr="00F3334B">
        <w:t>ow</w:t>
      </w:r>
      <w:r w:rsidR="00F3334B">
        <w:t>”</w:t>
      </w:r>
      <w:r w:rsidR="00F3334B" w:rsidRPr="00F3334B">
        <w:t xml:space="preserve"> for confidence.</w:t>
      </w:r>
    </w:p>
    <w:p w14:paraId="146F4558" w14:textId="77777777" w:rsidR="00C65BE3" w:rsidRDefault="001C61B7" w:rsidP="00C65BE3">
      <w:pPr>
        <w:pStyle w:val="Heading2"/>
        <w:ind w:left="720" w:hanging="720"/>
      </w:pPr>
      <w:r>
        <w:t>Data Entry</w:t>
      </w:r>
    </w:p>
    <w:p w14:paraId="0BC40143" w14:textId="77777777" w:rsidR="00C65BE3" w:rsidRDefault="001C61B7" w:rsidP="00C65BE3">
      <w:r>
        <w:t>The person or team preparing the status/trend table for an individual resource topic will proceed through the following steps:</w:t>
      </w:r>
    </w:p>
    <w:p w14:paraId="775899DE" w14:textId="564ED93E" w:rsidR="001C61B7" w:rsidRDefault="001C61B7" w:rsidP="001C61B7">
      <w:pPr>
        <w:pStyle w:val="ListParagraph"/>
        <w:numPr>
          <w:ilvl w:val="0"/>
          <w:numId w:val="14"/>
        </w:numPr>
      </w:pPr>
      <w:r>
        <w:t>Rename the file to identify the resource topic being addressed, by inserting the correct information in the two places provided in the Master Template file name [</w:t>
      </w:r>
      <w:r w:rsidRPr="00C658A9">
        <w:rPr>
          <w:rFonts w:asciiTheme="minorHAnsi" w:hAnsiTheme="minorHAnsi"/>
          <w:b/>
        </w:rPr>
        <w:t>GCDAMP KA Tables v2 (insert impact topic name) (insert version date).xlsx</w:t>
      </w:r>
      <w:r>
        <w:t>].</w:t>
      </w:r>
      <w:r w:rsidR="006A30AB">
        <w:t xml:space="preserve">  Note, if a 2017 Knowledge Assessment table was prepared, that table should be used.  The following steps, therefore, should mostly consist of verifying that the 2017 Knowledge Assessment information is still valid</w:t>
      </w:r>
      <w:r w:rsidR="009E3101">
        <w:t xml:space="preserve"> and updating information as appropriate</w:t>
      </w:r>
      <w:r w:rsidR="006A30AB">
        <w:t xml:space="preserve">. </w:t>
      </w:r>
    </w:p>
    <w:p w14:paraId="1D13C28D" w14:textId="77777777" w:rsidR="00C658A9" w:rsidRDefault="00C658A9" w:rsidP="001C61B7">
      <w:pPr>
        <w:pStyle w:val="ListParagraph"/>
        <w:numPr>
          <w:ilvl w:val="0"/>
          <w:numId w:val="14"/>
        </w:numPr>
      </w:pPr>
      <w:r>
        <w:t>Insert in Row 2 the name of the resource topic being addressed, by selecting the appropriate name from the provided drop-down list.</w:t>
      </w:r>
      <w:r w:rsidR="002334A6">
        <w:t xml:space="preserve"> The definitions for the Resource Topic entries are provided in the ‘Topic &amp; Action Labels’ worksheet (tab).</w:t>
      </w:r>
    </w:p>
    <w:p w14:paraId="1A1B5A17" w14:textId="77777777" w:rsidR="00C658A9" w:rsidRDefault="00C658A9" w:rsidP="001C61B7">
      <w:pPr>
        <w:pStyle w:val="ListParagraph"/>
        <w:numPr>
          <w:ilvl w:val="0"/>
          <w:numId w:val="14"/>
        </w:numPr>
      </w:pPr>
      <w:r>
        <w:t>Enter the information in Rows 3 and 4 for the names of the table preparer(s) and the preparation date.</w:t>
      </w:r>
    </w:p>
    <w:p w14:paraId="265BE70B" w14:textId="77777777" w:rsidR="00C658A9" w:rsidRDefault="000955DD" w:rsidP="001C61B7">
      <w:pPr>
        <w:pStyle w:val="ListParagraph"/>
        <w:numPr>
          <w:ilvl w:val="0"/>
          <w:numId w:val="14"/>
        </w:numPr>
      </w:pPr>
      <w:r w:rsidRPr="000955DD">
        <w:t xml:space="preserve">Enter </w:t>
      </w:r>
      <w:r>
        <w:t xml:space="preserve">the requested </w:t>
      </w:r>
      <w:r w:rsidRPr="000955DD">
        <w:t>information in Rows 7 onward for each technical measure, for each resource characteristic of interes</w:t>
      </w:r>
      <w:r>
        <w:t>t. The values for Status, Trend, and Confidence are entered by selecting the appropriate value from the provided drop-down lists. The definitions for the values in these lists are provided in the ‘Scoring Values’ worksheet (tab).</w:t>
      </w:r>
    </w:p>
    <w:p w14:paraId="2EBB5DCD" w14:textId="77777777" w:rsidR="00B50917" w:rsidRPr="000955DD" w:rsidRDefault="00B50917" w:rsidP="00B50917">
      <w:pPr>
        <w:pStyle w:val="ListParagraph"/>
        <w:numPr>
          <w:ilvl w:val="0"/>
          <w:numId w:val="14"/>
        </w:numPr>
      </w:pPr>
      <w:r>
        <w:t>See below for instructions on Reporting Rationales and Reporting Recommendations.</w:t>
      </w:r>
    </w:p>
    <w:bookmarkEnd w:id="3"/>
    <w:p w14:paraId="650A3BEA" w14:textId="77777777" w:rsidR="00C25C62" w:rsidRDefault="006A4539" w:rsidP="00C25C62">
      <w:pPr>
        <w:pStyle w:val="Heading1"/>
      </w:pPr>
      <w:r>
        <w:t>Assessing</w:t>
      </w:r>
      <w:r w:rsidR="00C25C62">
        <w:t xml:space="preserve"> Drivers</w:t>
      </w:r>
      <w:r>
        <w:t xml:space="preserve"> and</w:t>
      </w:r>
      <w:r w:rsidR="00C25C62">
        <w:t xml:space="preserve"> Constraints</w:t>
      </w:r>
    </w:p>
    <w:p w14:paraId="54A973EC" w14:textId="46780638" w:rsidR="00B454B6" w:rsidRDefault="00D47218" w:rsidP="00C25C62">
      <w:r>
        <w:t>Drivers and constraints</w:t>
      </w:r>
      <w:r w:rsidRPr="00D47218">
        <w:t xml:space="preserve"> consist of environmental conditions and dynamics – including human actions – that determine the quality, abundance, spatial </w:t>
      </w:r>
      <w:r w:rsidR="00C212A3">
        <w:t>or</w:t>
      </w:r>
      <w:r w:rsidRPr="00D47218">
        <w:t xml:space="preserve"> temporal distribution</w:t>
      </w:r>
      <w:r w:rsidR="00C212A3">
        <w:t xml:space="preserve">, or other </w:t>
      </w:r>
      <w:r w:rsidR="006A4539">
        <w:t>characteristics of some condition</w:t>
      </w:r>
      <w:r w:rsidRPr="00D47218">
        <w:t>.</w:t>
      </w:r>
      <w:r>
        <w:t xml:space="preserve"> </w:t>
      </w:r>
      <w:r w:rsidR="00A65A48" w:rsidRPr="00A65A48">
        <w:t xml:space="preserve">A causal relationship exists </w:t>
      </w:r>
      <w:r w:rsidR="00A65A48">
        <w:t xml:space="preserve">between a driver or constraint and some </w:t>
      </w:r>
      <w:r w:rsidR="00F05120">
        <w:t>characteristics</w:t>
      </w:r>
      <w:r w:rsidR="00A65A48">
        <w:t xml:space="preserve"> of a </w:t>
      </w:r>
      <w:r w:rsidR="00F05120">
        <w:t>condition</w:t>
      </w:r>
      <w:r w:rsidR="00A65A48">
        <w:t xml:space="preserve"> </w:t>
      </w:r>
      <w:r w:rsidR="00A65A48" w:rsidRPr="00A65A48">
        <w:t xml:space="preserve">when a change in </w:t>
      </w:r>
      <w:r w:rsidR="00A65A48">
        <w:t xml:space="preserve">the driver or constraint </w:t>
      </w:r>
      <w:r w:rsidR="00A65A48" w:rsidRPr="00A65A48">
        <w:t xml:space="preserve">results in a change in </w:t>
      </w:r>
      <w:r w:rsidR="00A65A48">
        <w:t xml:space="preserve">the </w:t>
      </w:r>
      <w:r w:rsidR="00F05120">
        <w:t>characteristic</w:t>
      </w:r>
      <w:r w:rsidR="00A65A48">
        <w:t>.</w:t>
      </w:r>
      <w:r w:rsidR="00DB30CD">
        <w:t xml:space="preserve">  Note, </w:t>
      </w:r>
      <w:r w:rsidR="00484193">
        <w:t>assessing</w:t>
      </w:r>
      <w:r w:rsidR="000E5DF5">
        <w:t xml:space="preserve"> drivers and constraints</w:t>
      </w:r>
      <w:r w:rsidR="00A07652">
        <w:t xml:space="preserve"> </w:t>
      </w:r>
      <w:r w:rsidR="0004022B">
        <w:t xml:space="preserve">in this way </w:t>
      </w:r>
      <w:r w:rsidR="00CF41B3">
        <w:t>should help</w:t>
      </w:r>
      <w:r w:rsidR="006D5AB4">
        <w:t xml:space="preserve"> with the </w:t>
      </w:r>
      <w:r w:rsidR="00512F55">
        <w:t>conceptual</w:t>
      </w:r>
      <w:r w:rsidR="003E1F5B">
        <w:t xml:space="preserve"> </w:t>
      </w:r>
      <w:r w:rsidR="007A13E6">
        <w:t>understanding</w:t>
      </w:r>
      <w:r w:rsidR="006D5AB4">
        <w:t xml:space="preserve"> of these resources.</w:t>
      </w:r>
      <w:r w:rsidR="007A13E6">
        <w:t xml:space="preserve"> </w:t>
      </w:r>
    </w:p>
    <w:p w14:paraId="03D0FE81" w14:textId="77777777" w:rsidR="00F05120" w:rsidRDefault="00F05120" w:rsidP="00F05120">
      <w:r>
        <w:t>GCDAMP management actions also constitute potential drivers of conditions in the Colorado River ecosystem. However, the present Knowledge Assessment addresses the effects of management actions separately, as discussed later in this guidance document.</w:t>
      </w:r>
    </w:p>
    <w:p w14:paraId="03C03F35" w14:textId="77777777" w:rsidR="00D80174" w:rsidRDefault="00D80174" w:rsidP="00D80174">
      <w:r>
        <w:t xml:space="preserve">The GCDAMP knowledge assessment of drivers and constraints for each </w:t>
      </w:r>
      <w:r w:rsidR="00532210">
        <w:t>resource</w:t>
      </w:r>
      <w:r>
        <w:t xml:space="preserve"> topic again uses a standard table, an image of which is shown below (</w:t>
      </w:r>
      <w:r w:rsidRPr="00D6009B">
        <w:rPr>
          <w:i/>
        </w:rPr>
        <w:t>not shown actual size</w:t>
      </w:r>
      <w:r w:rsidR="00D1345A">
        <w:t>)</w:t>
      </w:r>
      <w:r>
        <w:t xml:space="preserve">. A separate spreadsheet again provides the actual (blank) table template. The methodology for the review of </w:t>
      </w:r>
      <w:r w:rsidR="007162AC">
        <w:t xml:space="preserve">potential </w:t>
      </w:r>
      <w:r>
        <w:t>drivers and constraints is adapted from the logic of the National Park Service for its Natural Resources Condition Assessments (</w:t>
      </w:r>
      <w:hyperlink r:id="rId15" w:history="1">
        <w:r w:rsidRPr="00D849E0">
          <w:rPr>
            <w:rStyle w:val="Hyperlink"/>
          </w:rPr>
          <w:t>http://www.nature.nps.gov/water/nrca/</w:t>
        </w:r>
      </w:hyperlink>
      <w:r>
        <w:t xml:space="preserve">) (NPS 2014), with </w:t>
      </w:r>
      <w:r w:rsidR="004E7FE0">
        <w:t>critical</w:t>
      </w:r>
      <w:r>
        <w:t xml:space="preserve"> additions adapted from </w:t>
      </w:r>
      <w:r w:rsidR="000345B0">
        <w:t xml:space="preserve">the </w:t>
      </w:r>
      <w:r w:rsidR="008F7903" w:rsidRPr="005026C2">
        <w:t>Sac</w:t>
      </w:r>
      <w:r w:rsidR="008F7903">
        <w:t>ramento-San Joaquin Delta </w:t>
      </w:r>
      <w:r w:rsidR="008F7903" w:rsidRPr="005026C2">
        <w:t>Ecosystem Restoration Program (</w:t>
      </w:r>
      <w:hyperlink r:id="rId16" w:history="1">
        <w:r w:rsidR="008F7903" w:rsidRPr="001D2FD6">
          <w:rPr>
            <w:rStyle w:val="Hyperlink"/>
            <w:rFonts w:eastAsia="Calibri"/>
          </w:rPr>
          <w:t>https://www.dfg.ca.gov/ERP/ conceptual_models.asp</w:t>
        </w:r>
      </w:hyperlink>
      <w:r w:rsidR="008F7903">
        <w:t>) (D</w:t>
      </w:r>
      <w:r w:rsidR="008F7903" w:rsidRPr="00C35198">
        <w:t>iGennaro et al. 2012</w:t>
      </w:r>
      <w:r w:rsidR="008F7903">
        <w:t>).</w:t>
      </w:r>
    </w:p>
    <w:p w14:paraId="01458B68" w14:textId="77777777" w:rsidR="00D80174" w:rsidRDefault="000E1D54" w:rsidP="00C25C62">
      <w:r w:rsidRPr="000E1D54">
        <w:rPr>
          <w:noProof/>
        </w:rPr>
        <w:drawing>
          <wp:inline distT="0" distB="0" distL="0" distR="0" wp14:anchorId="4153109C" wp14:editId="2AB119DF">
            <wp:extent cx="8595360" cy="897219"/>
            <wp:effectExtent l="19050" t="19050" r="15240" b="177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95360" cy="897219"/>
                    </a:xfrm>
                    <a:prstGeom prst="rect">
                      <a:avLst/>
                    </a:prstGeom>
                    <a:noFill/>
                    <a:ln w="3175">
                      <a:solidFill>
                        <a:schemeClr val="tx1"/>
                      </a:solidFill>
                    </a:ln>
                  </pic:spPr>
                </pic:pic>
              </a:graphicData>
            </a:graphic>
          </wp:inline>
        </w:drawing>
      </w:r>
    </w:p>
    <w:p w14:paraId="6401BC44" w14:textId="421DA588" w:rsidR="00532210" w:rsidRDefault="008B0359" w:rsidP="006703CD">
      <w:r>
        <w:t xml:space="preserve">The </w:t>
      </w:r>
      <w:r w:rsidR="007D3186">
        <w:t xml:space="preserve">drivers/constraints </w:t>
      </w:r>
      <w:r>
        <w:t xml:space="preserve">table recognizes that GCDAMP investigators typically </w:t>
      </w:r>
      <w:r w:rsidR="00D92A41">
        <w:t xml:space="preserve">recognize multiple drivers and constraints, which they </w:t>
      </w:r>
      <w:r w:rsidR="00F80CE9">
        <w:t>estimate (hypothesize) may significantly affect status and trends for</w:t>
      </w:r>
      <w:r>
        <w:t xml:space="preserve"> each </w:t>
      </w:r>
      <w:r w:rsidR="00532210">
        <w:t>resource</w:t>
      </w:r>
      <w:r>
        <w:t xml:space="preserve"> topic. The person or team preparing the </w:t>
      </w:r>
      <w:r w:rsidR="00F80CE9">
        <w:t xml:space="preserve">“drivers and constraints” </w:t>
      </w:r>
      <w:r>
        <w:t xml:space="preserve">table for an individual </w:t>
      </w:r>
      <w:r w:rsidR="00532210">
        <w:t>resource</w:t>
      </w:r>
      <w:r>
        <w:t xml:space="preserve"> topic must </w:t>
      </w:r>
      <w:r w:rsidR="00F80CE9">
        <w:t>first list all the drivers and constraints of potential interest</w:t>
      </w:r>
      <w:r w:rsidR="00F82212">
        <w:t xml:space="preserve">. </w:t>
      </w:r>
      <w:r w:rsidR="00E92C99">
        <w:t>For example, the assessment of sediment storage described in the current (FY1</w:t>
      </w:r>
      <w:r w:rsidR="00AB6B58">
        <w:t>8</w:t>
      </w:r>
      <w:r w:rsidR="00E92C99">
        <w:t>-</w:t>
      </w:r>
      <w:r w:rsidR="00AB6B58">
        <w:t>20</w:t>
      </w:r>
      <w:r w:rsidR="00E92C99">
        <w:t xml:space="preserve"> Triennial Work Plan recognizes needs to understand the effects of sediments inputs from the Paria and Little Colorado Rivers as well as minor tributaries, the effects of channel macro- and meso-scale geometry on sediment storage and transport, and the effects of submerged vegetation on </w:t>
      </w:r>
      <w:r w:rsidR="007D3186">
        <w:t>the output from various methods for mapping river bed composition.</w:t>
      </w:r>
      <w:r w:rsidR="00D1345A">
        <w:t xml:space="preserve"> Similarly, studies of the aquatic food base indicate that overall productivity can vary </w:t>
      </w:r>
      <w:r w:rsidR="00C74E57">
        <w:t>in response to variation in water temperature, chemical composition</w:t>
      </w:r>
      <w:r w:rsidR="00E34DD3">
        <w:t>, and turbidity</w:t>
      </w:r>
      <w:r w:rsidR="00C74E57">
        <w:t xml:space="preserve">; the duration of sunlight hitting the channel; </w:t>
      </w:r>
      <w:r w:rsidR="00E34DD3">
        <w:t xml:space="preserve">and variation in </w:t>
      </w:r>
      <w:r w:rsidR="00C74E57">
        <w:t>flow velocity</w:t>
      </w:r>
      <w:r w:rsidR="00E34DD3">
        <w:t xml:space="preserve"> and stage and their consequences for</w:t>
      </w:r>
      <w:r w:rsidR="00C74E57">
        <w:t xml:space="preserve"> the timing and duration of exposure of channel substrate</w:t>
      </w:r>
      <w:r w:rsidR="00E34DD3">
        <w:t xml:space="preserve">s. Each of these drivers or constraints in turn may be shaped by additional drivers or constraints. For example, water temperature varies with conditions in </w:t>
      </w:r>
      <w:r w:rsidR="008031F7">
        <w:t xml:space="preserve">the Glen Canyon Dam forebay, dam </w:t>
      </w:r>
      <w:r w:rsidR="00E34DD3">
        <w:t xml:space="preserve">operations, </w:t>
      </w:r>
      <w:r w:rsidR="008031F7">
        <w:t xml:space="preserve">and air temperature. Turbidity varies with </w:t>
      </w:r>
      <w:r w:rsidR="00A3547D">
        <w:t xml:space="preserve">mineral precipitation and transport along the Little Colorado River and </w:t>
      </w:r>
      <w:r w:rsidR="008031F7">
        <w:t>suspended sediment transport</w:t>
      </w:r>
      <w:r w:rsidR="00A3547D">
        <w:t xml:space="preserve"> along both the Little Colorado and mainstem Colorado Rivers</w:t>
      </w:r>
      <w:r w:rsidR="008031F7">
        <w:t xml:space="preserve">, </w:t>
      </w:r>
      <w:r w:rsidR="00A3547D">
        <w:t xml:space="preserve">where it </w:t>
      </w:r>
      <w:r w:rsidR="008031F7">
        <w:t xml:space="preserve">varies with sediment storage, sediment inputs, and river discharge. The duration of sunlight hitting the channel varies with cloud cover, season, and several aspects of canyon geometry. </w:t>
      </w:r>
      <w:r w:rsidR="00A3547D">
        <w:t>The person or team preparing the drivers/constraints table must decide which drivers or constraints to include in the table, based on those drivers or constraints identified by the</w:t>
      </w:r>
      <w:r w:rsidR="00117494">
        <w:t xml:space="preserve"> literature and investigators as important for consideration by the GCDAMP.</w:t>
      </w:r>
    </w:p>
    <w:p w14:paraId="31A07258" w14:textId="77777777" w:rsidR="006703CD" w:rsidRPr="007063B6" w:rsidRDefault="00F82212" w:rsidP="006703CD">
      <w:r>
        <w:t xml:space="preserve">The person or team preparing the </w:t>
      </w:r>
      <w:r w:rsidR="007D3186">
        <w:t xml:space="preserve">drivers/constraints </w:t>
      </w:r>
      <w:r>
        <w:t xml:space="preserve">table must then </w:t>
      </w:r>
      <w:r w:rsidR="008B0359">
        <w:t xml:space="preserve">assess </w:t>
      </w:r>
      <w:r>
        <w:t xml:space="preserve">each hypothesized driver or constraint </w:t>
      </w:r>
      <w:r w:rsidR="008B0359">
        <w:t>on three dimensions</w:t>
      </w:r>
      <w:r>
        <w:t>:</w:t>
      </w:r>
      <w:r w:rsidR="008B0359">
        <w:t xml:space="preserve"> </w:t>
      </w:r>
      <w:r>
        <w:t xml:space="preserve">the hypothesized strength of the effect that the driver or constraint has on some </w:t>
      </w:r>
      <w:r w:rsidR="008B0359">
        <w:t>characteristic, condition, or variable</w:t>
      </w:r>
      <w:r>
        <w:t xml:space="preserve"> of interest</w:t>
      </w:r>
      <w:r w:rsidR="008B0359">
        <w:t xml:space="preserve">; </w:t>
      </w:r>
      <w:r>
        <w:t>the hypothesized direction of this effect;</w:t>
      </w:r>
      <w:r w:rsidR="008B0359">
        <w:t xml:space="preserve"> and confidence in the</w:t>
      </w:r>
      <w:r>
        <w:t>se</w:t>
      </w:r>
      <w:r w:rsidR="008B0359">
        <w:t xml:space="preserve"> assessments. The person or team preparing the </w:t>
      </w:r>
      <w:r w:rsidR="007D3186">
        <w:t xml:space="preserve">drivers/constraints </w:t>
      </w:r>
      <w:r w:rsidR="008B0359">
        <w:t xml:space="preserve">table for an individual </w:t>
      </w:r>
      <w:r w:rsidR="00532210">
        <w:t>resource</w:t>
      </w:r>
      <w:r w:rsidR="008B0359">
        <w:t xml:space="preserve"> topic also must provide brief rationale for the resulting ratings; and may also offer recommendations for monitoring and research </w:t>
      </w:r>
      <w:r w:rsidR="00851A50">
        <w:t>to address crucial gaps in knowledge</w:t>
      </w:r>
      <w:r w:rsidR="008B0359">
        <w:t xml:space="preserve">. The definitions and rating levels for assessing </w:t>
      </w:r>
      <w:r w:rsidR="00851A50">
        <w:t>strength</w:t>
      </w:r>
      <w:r w:rsidR="008B0359">
        <w:t xml:space="preserve">, </w:t>
      </w:r>
      <w:r w:rsidR="00851A50">
        <w:t>direction</w:t>
      </w:r>
      <w:r w:rsidR="008B0359">
        <w:t>, and confidence are as follows.</w:t>
      </w:r>
    </w:p>
    <w:p w14:paraId="734F5FA6" w14:textId="77777777" w:rsidR="00361537" w:rsidRDefault="000554AE" w:rsidP="00361537">
      <w:pPr>
        <w:pStyle w:val="Heading2"/>
      </w:pPr>
      <w:r>
        <w:t>Strength</w:t>
      </w:r>
      <w:r w:rsidR="005C2A3B">
        <w:t xml:space="preserve"> of Effect</w:t>
      </w:r>
      <w:r>
        <w:t xml:space="preserve"> </w:t>
      </w:r>
      <w:r w:rsidR="005C2A3B">
        <w:t>(Rating Definitions)</w:t>
      </w:r>
    </w:p>
    <w:p w14:paraId="471560A9" w14:textId="4117C741" w:rsidR="00F81D12" w:rsidRDefault="00F81D12" w:rsidP="00AF734A">
      <w:pPr>
        <w:pStyle w:val="ListParagraph"/>
        <w:numPr>
          <w:ilvl w:val="0"/>
          <w:numId w:val="5"/>
        </w:numPr>
      </w:pPr>
      <w:bookmarkStart w:id="4" w:name="OLE_LINK4"/>
      <w:r>
        <w:rPr>
          <w:u w:val="single"/>
        </w:rPr>
        <w:t>Strong</w:t>
      </w:r>
      <w:r>
        <w:t xml:space="preserve">: </w:t>
      </w:r>
      <w:r w:rsidR="00AF734A" w:rsidRPr="00AF734A">
        <w:t xml:space="preserve">Even a relatively small change in the </w:t>
      </w:r>
      <w:r w:rsidR="00AF734A">
        <w:t>driver or constraint</w:t>
      </w:r>
      <w:r w:rsidR="00AF734A" w:rsidRPr="00AF734A">
        <w:t xml:space="preserve"> </w:t>
      </w:r>
      <w:r w:rsidR="00235D09">
        <w:t>o</w:t>
      </w:r>
      <w:r w:rsidR="00567C1B">
        <w:t>f</w:t>
      </w:r>
      <w:r w:rsidR="00235D09">
        <w:t xml:space="preserve"> interest </w:t>
      </w:r>
      <w:r w:rsidR="00AF734A" w:rsidRPr="00AF734A">
        <w:t xml:space="preserve">will result in a relatively large change in the affected </w:t>
      </w:r>
      <w:r w:rsidR="005C2A3B">
        <w:t>condition</w:t>
      </w:r>
      <w:r w:rsidR="00102EA4">
        <w:t xml:space="preserve"> (or</w:t>
      </w:r>
      <w:r w:rsidR="00266292">
        <w:t>,</w:t>
      </w:r>
      <w:r w:rsidR="00102EA4">
        <w:t xml:space="preserve"> in the case of resource topics that condition is not assessed, </w:t>
      </w:r>
      <w:r w:rsidR="00B22426">
        <w:t>the</w:t>
      </w:r>
      <w:r w:rsidR="00C21A2A">
        <w:t xml:space="preserve"> condition trend)</w:t>
      </w:r>
      <w:r w:rsidR="00AF734A">
        <w:t xml:space="preserve">, and this </w:t>
      </w:r>
      <w:r w:rsidR="00885428">
        <w:t xml:space="preserve">cause-effect </w:t>
      </w:r>
      <w:r w:rsidR="00AF734A">
        <w:t xml:space="preserve">relationship is not significantly </w:t>
      </w:r>
      <w:r w:rsidR="0089241C">
        <w:t>subject to</w:t>
      </w:r>
      <w:r w:rsidR="00AF734A" w:rsidRPr="00AF734A">
        <w:t xml:space="preserve"> random variation or </w:t>
      </w:r>
      <w:r w:rsidR="0089241C">
        <w:t xml:space="preserve">affected </w:t>
      </w:r>
      <w:r w:rsidR="00AF734A" w:rsidRPr="00AF734A">
        <w:t>by variability in other factors.</w:t>
      </w:r>
    </w:p>
    <w:p w14:paraId="1A2A08E4" w14:textId="5F905C78" w:rsidR="00BE1843" w:rsidRDefault="0089241C" w:rsidP="00327DA2">
      <w:pPr>
        <w:pStyle w:val="ListParagraph"/>
        <w:numPr>
          <w:ilvl w:val="0"/>
          <w:numId w:val="5"/>
        </w:numPr>
      </w:pPr>
      <w:r w:rsidRPr="00235D09">
        <w:rPr>
          <w:u w:val="single"/>
        </w:rPr>
        <w:t>Moderate</w:t>
      </w:r>
      <w:r w:rsidRPr="0089241C">
        <w:t>:</w:t>
      </w:r>
      <w:r>
        <w:t xml:space="preserve"> </w:t>
      </w:r>
      <w:r w:rsidR="00235D09">
        <w:t>The driver or constraint</w:t>
      </w:r>
      <w:r w:rsidR="00235D09" w:rsidRPr="00AF734A">
        <w:t xml:space="preserve"> </w:t>
      </w:r>
      <w:r w:rsidR="00235D09">
        <w:t xml:space="preserve">of interest must </w:t>
      </w:r>
      <w:r w:rsidR="00722919">
        <w:t>undergo</w:t>
      </w:r>
      <w:r w:rsidR="00235D09">
        <w:t xml:space="preserve"> a </w:t>
      </w:r>
      <w:r w:rsidR="003750FA">
        <w:t xml:space="preserve">relatively </w:t>
      </w:r>
      <w:r w:rsidR="00235D09">
        <w:t xml:space="preserve">large change </w:t>
      </w:r>
      <w:r w:rsidR="00722919">
        <w:t xml:space="preserve">in order </w:t>
      </w:r>
      <w:r w:rsidR="00235D09">
        <w:t xml:space="preserve">to cause </w:t>
      </w:r>
      <w:r w:rsidR="00235D09" w:rsidRPr="00AF734A">
        <w:t>a relatively large change</w:t>
      </w:r>
      <w:r w:rsidR="00235D09">
        <w:t xml:space="preserve"> </w:t>
      </w:r>
      <w:r w:rsidR="00235D09" w:rsidRPr="00AF734A">
        <w:t xml:space="preserve">in the affected </w:t>
      </w:r>
      <w:r w:rsidR="005C2A3B">
        <w:t>condition</w:t>
      </w:r>
      <w:r w:rsidR="006F7C2E">
        <w:t xml:space="preserve"> (or, in the case of resource topics that condition is not assessed, the condition trend)</w:t>
      </w:r>
      <w:r w:rsidR="00235D09">
        <w:t xml:space="preserve">; and/or </w:t>
      </w:r>
      <w:r w:rsidR="002C2BEF">
        <w:t>this</w:t>
      </w:r>
      <w:r w:rsidR="002C2BEF" w:rsidRPr="002C2BEF">
        <w:t xml:space="preserve"> </w:t>
      </w:r>
      <w:r w:rsidR="002C2BEF">
        <w:t>cause-effect</w:t>
      </w:r>
      <w:r w:rsidR="00235D09">
        <w:t xml:space="preserve"> relationship is subject to</w:t>
      </w:r>
      <w:r w:rsidR="00235D09" w:rsidRPr="00AF734A">
        <w:t xml:space="preserve"> </w:t>
      </w:r>
      <w:r w:rsidR="00567C1B">
        <w:t>moderate</w:t>
      </w:r>
      <w:r w:rsidR="00235D09" w:rsidRPr="00AF734A">
        <w:t xml:space="preserve"> </w:t>
      </w:r>
      <w:r w:rsidR="00567C1B">
        <w:t xml:space="preserve">random </w:t>
      </w:r>
      <w:r w:rsidR="00235D09" w:rsidRPr="00AF734A">
        <w:t xml:space="preserve">variation or </w:t>
      </w:r>
      <w:r w:rsidR="00235D09">
        <w:t xml:space="preserve">is </w:t>
      </w:r>
      <w:r w:rsidR="003750FA">
        <w:t xml:space="preserve">moderately </w:t>
      </w:r>
      <w:r w:rsidR="00235D09">
        <w:t xml:space="preserve">affected </w:t>
      </w:r>
      <w:r w:rsidR="00235D09" w:rsidRPr="00AF734A">
        <w:t>by variability in other factors.</w:t>
      </w:r>
    </w:p>
    <w:p w14:paraId="59A3CFF8" w14:textId="6F1FAB8B" w:rsidR="003750FA" w:rsidRDefault="003750FA" w:rsidP="00327DA2">
      <w:pPr>
        <w:pStyle w:val="ListParagraph"/>
        <w:numPr>
          <w:ilvl w:val="0"/>
          <w:numId w:val="5"/>
        </w:numPr>
      </w:pPr>
      <w:r>
        <w:rPr>
          <w:u w:val="single"/>
        </w:rPr>
        <w:t>Weak</w:t>
      </w:r>
      <w:r w:rsidRPr="003750FA">
        <w:t>:</w:t>
      </w:r>
      <w:r>
        <w:t xml:space="preserve"> Even a relatively large change </w:t>
      </w:r>
      <w:r w:rsidRPr="00AF734A">
        <w:t xml:space="preserve">in the </w:t>
      </w:r>
      <w:r>
        <w:t>driver or constraint</w:t>
      </w:r>
      <w:r w:rsidRPr="00AF734A">
        <w:t xml:space="preserve"> </w:t>
      </w:r>
      <w:r>
        <w:t>o</w:t>
      </w:r>
      <w:r w:rsidR="00A211F8">
        <w:t>f</w:t>
      </w:r>
      <w:r>
        <w:t xml:space="preserve"> interest </w:t>
      </w:r>
      <w:r w:rsidRPr="00AF734A">
        <w:t xml:space="preserve">will result in </w:t>
      </w:r>
      <w:r w:rsidR="007D3B8F">
        <w:t xml:space="preserve">only </w:t>
      </w:r>
      <w:r w:rsidRPr="00AF734A">
        <w:t xml:space="preserve">a relatively </w:t>
      </w:r>
      <w:r>
        <w:t>small</w:t>
      </w:r>
      <w:r w:rsidRPr="00AF734A">
        <w:t xml:space="preserve"> change in the affected </w:t>
      </w:r>
      <w:r w:rsidR="005C2A3B">
        <w:t>condition</w:t>
      </w:r>
      <w:r w:rsidR="00714368">
        <w:t xml:space="preserve"> (or, in the case of resource topics that condition is not assessed, the condition trend)</w:t>
      </w:r>
      <w:r>
        <w:t xml:space="preserve">; and/or </w:t>
      </w:r>
      <w:r w:rsidR="002C2BEF">
        <w:t>this</w:t>
      </w:r>
      <w:r w:rsidR="002C2BEF" w:rsidRPr="002C2BEF">
        <w:t xml:space="preserve"> </w:t>
      </w:r>
      <w:r w:rsidR="002C2BEF">
        <w:t>cause-effect</w:t>
      </w:r>
      <w:r>
        <w:t xml:space="preserve"> relationship is subject to</w:t>
      </w:r>
      <w:r w:rsidRPr="00AF734A">
        <w:t xml:space="preserve"> </w:t>
      </w:r>
      <w:r w:rsidR="00A211F8">
        <w:t xml:space="preserve">significant </w:t>
      </w:r>
      <w:r w:rsidRPr="00AF734A">
        <w:t xml:space="preserve">random variation or </w:t>
      </w:r>
      <w:r>
        <w:t xml:space="preserve">is strongly affected </w:t>
      </w:r>
      <w:r w:rsidRPr="00AF734A">
        <w:t>by variability in other factors.</w:t>
      </w:r>
    </w:p>
    <w:p w14:paraId="7C6E3F52" w14:textId="77777777" w:rsidR="004C75E7" w:rsidRDefault="004C75E7" w:rsidP="00571C08">
      <w:pPr>
        <w:pStyle w:val="ListParagraph"/>
        <w:numPr>
          <w:ilvl w:val="0"/>
          <w:numId w:val="5"/>
        </w:numPr>
      </w:pPr>
      <w:r>
        <w:rPr>
          <w:u w:val="single"/>
        </w:rPr>
        <w:t>Unknown</w:t>
      </w:r>
      <w:r>
        <w:t xml:space="preserve">: </w:t>
      </w:r>
      <w:r w:rsidR="00814F6A">
        <w:t xml:space="preserve">There is not </w:t>
      </w:r>
      <w:proofErr w:type="gramStart"/>
      <w:r w:rsidR="00814F6A">
        <w:t>s</w:t>
      </w:r>
      <w:r w:rsidR="00814F6A" w:rsidRPr="00507EB5">
        <w:t>ufficient</w:t>
      </w:r>
      <w:proofErr w:type="gramEnd"/>
      <w:r w:rsidR="00814F6A" w:rsidRPr="00507EB5">
        <w:t xml:space="preserve"> information</w:t>
      </w:r>
      <w:r w:rsidR="00571C08" w:rsidRPr="00571C08">
        <w:t xml:space="preserve">, with which to evaluate the strength of the cause-effect relationship, even though there is sufficient information </w:t>
      </w:r>
      <w:r w:rsidR="00814F6A">
        <w:t>to support a hypothesis</w:t>
      </w:r>
      <w:r w:rsidR="00571C08" w:rsidRPr="00571C08">
        <w:t xml:space="preserve"> that at least some type of cause-effect relationship may exist. This rating typically would </w:t>
      </w:r>
      <w:r w:rsidR="00814F6A">
        <w:t>call for</w:t>
      </w:r>
      <w:r w:rsidR="00571C08" w:rsidRPr="00571C08">
        <w:t xml:space="preserve"> ratings of </w:t>
      </w:r>
      <w:r w:rsidR="00571C08">
        <w:t>“U</w:t>
      </w:r>
      <w:r w:rsidR="00571C08" w:rsidRPr="00571C08">
        <w:t>nknown</w:t>
      </w:r>
      <w:r w:rsidR="00571C08">
        <w:t>”</w:t>
      </w:r>
      <w:r w:rsidR="00571C08" w:rsidRPr="00571C08">
        <w:t xml:space="preserve"> for the direction of effect and </w:t>
      </w:r>
      <w:r w:rsidR="00571C08">
        <w:t>“L</w:t>
      </w:r>
      <w:r w:rsidR="00571C08" w:rsidRPr="00571C08">
        <w:t>ow</w:t>
      </w:r>
      <w:r w:rsidR="00571C08">
        <w:t>”</w:t>
      </w:r>
      <w:r w:rsidR="00571C08" w:rsidRPr="00571C08">
        <w:t xml:space="preserve"> for confidence. However, in some cases it may be possible to estimate the direction but not the strength of an effect. In such cases the user must explain why it is possible to assess the direction but not </w:t>
      </w:r>
      <w:r w:rsidR="00331043">
        <w:t xml:space="preserve">the </w:t>
      </w:r>
      <w:r w:rsidR="00571C08" w:rsidRPr="00571C08">
        <w:t>strength of the effect.</w:t>
      </w:r>
    </w:p>
    <w:bookmarkEnd w:id="4"/>
    <w:p w14:paraId="2C803203" w14:textId="77777777" w:rsidR="00567C1B" w:rsidRDefault="005C2A3B" w:rsidP="00567C1B">
      <w:pPr>
        <w:pStyle w:val="Heading2"/>
      </w:pPr>
      <w:r>
        <w:t>Direction of Effect (Rating Definitions)</w:t>
      </w:r>
    </w:p>
    <w:p w14:paraId="48C0D951" w14:textId="4C267B44" w:rsidR="00C5306F" w:rsidRPr="00C5306F" w:rsidRDefault="00C5306F" w:rsidP="008A5DC6">
      <w:r>
        <w:t xml:space="preserve">Note, </w:t>
      </w:r>
      <w:r w:rsidR="00E522A1">
        <w:t xml:space="preserve">the 2017 Knowledge Assessment used the terms “Positive Effect” and “Negative Effect” but those terms are not used in the present </w:t>
      </w:r>
      <w:r w:rsidR="00B32C65">
        <w:t>K</w:t>
      </w:r>
      <w:r w:rsidR="00E522A1">
        <w:t xml:space="preserve">nowledge </w:t>
      </w:r>
      <w:r w:rsidR="00B32C65">
        <w:t>A</w:t>
      </w:r>
      <w:r w:rsidR="00E522A1">
        <w:t xml:space="preserve">ssessment.  A lesson learned from </w:t>
      </w:r>
      <w:r>
        <w:t>the 2017 Knowledge Assessment</w:t>
      </w:r>
      <w:r w:rsidR="00E522A1">
        <w:t xml:space="preserve"> was that th</w:t>
      </w:r>
      <w:r w:rsidR="00214225">
        <w:t>ose ter</w:t>
      </w:r>
      <w:r w:rsidR="00AC395E">
        <w:t xml:space="preserve">ms were interpreted </w:t>
      </w:r>
      <w:r w:rsidR="00B32C65">
        <w:t xml:space="preserve">by some persons and teams </w:t>
      </w:r>
      <w:r w:rsidR="00AC395E">
        <w:t>to be value-</w:t>
      </w:r>
      <w:r w:rsidR="00214225">
        <w:t>based judgements instead of fact</w:t>
      </w:r>
      <w:r w:rsidR="00AC395E">
        <w:t>-</w:t>
      </w:r>
      <w:r w:rsidR="00214225">
        <w:t>based judgements.</w:t>
      </w:r>
      <w:r w:rsidR="00B32C65">
        <w:t xml:space="preserve">  This Knowledge Assessment aims to avoid concerns with</w:t>
      </w:r>
      <w:r w:rsidR="009E3101">
        <w:t xml:space="preserve"> potentially</w:t>
      </w:r>
      <w:r w:rsidR="00B32C65">
        <w:t xml:space="preserve"> co-mingling subjective and objective information by focusing on if the direction of effect is simply “Increasing” or “Decreasing”</w:t>
      </w:r>
      <w:r>
        <w:t xml:space="preserve"> (see definitions below).</w:t>
      </w:r>
    </w:p>
    <w:p w14:paraId="4D0B756E" w14:textId="08509CAD" w:rsidR="00567C1B" w:rsidRDefault="0067550B" w:rsidP="00567C1B">
      <w:pPr>
        <w:pStyle w:val="ListParagraph"/>
        <w:numPr>
          <w:ilvl w:val="0"/>
          <w:numId w:val="5"/>
        </w:numPr>
      </w:pPr>
      <w:bookmarkStart w:id="5" w:name="OLE_LINK5"/>
      <w:r>
        <w:rPr>
          <w:u w:val="single"/>
        </w:rPr>
        <w:t xml:space="preserve">Increasing </w:t>
      </w:r>
      <w:r w:rsidR="00567C1B">
        <w:rPr>
          <w:u w:val="single"/>
        </w:rPr>
        <w:t>Effect</w:t>
      </w:r>
      <w:r w:rsidR="00567C1B">
        <w:t>: An increase in</w:t>
      </w:r>
      <w:r w:rsidR="009204F3">
        <w:t xml:space="preserve"> the magnitude, duration, </w:t>
      </w:r>
      <w:r w:rsidR="00331043">
        <w:t xml:space="preserve">frequency, </w:t>
      </w:r>
      <w:r w:rsidR="009204F3">
        <w:t xml:space="preserve">or spatial extent of the driver or constraint </w:t>
      </w:r>
      <w:r w:rsidR="00034CF1">
        <w:t xml:space="preserve">consistently </w:t>
      </w:r>
      <w:r w:rsidR="009204F3">
        <w:t xml:space="preserve">results in an increase in </w:t>
      </w:r>
      <w:r w:rsidR="009204F3" w:rsidRPr="00D47218">
        <w:t>quality, abundance, and</w:t>
      </w:r>
      <w:r w:rsidR="009204F3">
        <w:t>/or</w:t>
      </w:r>
      <w:r w:rsidR="009204F3" w:rsidRPr="00D47218">
        <w:t xml:space="preserve"> spatial and temporal distributions of </w:t>
      </w:r>
      <w:r w:rsidR="009204F3">
        <w:t xml:space="preserve">the </w:t>
      </w:r>
      <w:r w:rsidR="005C2A3B">
        <w:t>affected condition</w:t>
      </w:r>
      <w:r w:rsidR="009204F3">
        <w:t>.</w:t>
      </w:r>
      <w:r w:rsidR="00EB6DC1">
        <w:t xml:space="preserve"> </w:t>
      </w:r>
    </w:p>
    <w:p w14:paraId="4BA4DCB8" w14:textId="4FB93BD1" w:rsidR="009204F3" w:rsidRDefault="0067550B" w:rsidP="00567C1B">
      <w:pPr>
        <w:pStyle w:val="ListParagraph"/>
        <w:numPr>
          <w:ilvl w:val="0"/>
          <w:numId w:val="5"/>
        </w:numPr>
      </w:pPr>
      <w:r>
        <w:rPr>
          <w:u w:val="single"/>
        </w:rPr>
        <w:t xml:space="preserve">Decreasing </w:t>
      </w:r>
      <w:r w:rsidR="00EB6DC1" w:rsidRPr="00EB6DC1">
        <w:rPr>
          <w:u w:val="single"/>
        </w:rPr>
        <w:t>Effect</w:t>
      </w:r>
      <w:r w:rsidR="00EB6DC1">
        <w:t xml:space="preserve">: </w:t>
      </w:r>
      <w:r w:rsidR="0085796A">
        <w:t xml:space="preserve">An increase in the magnitude, </w:t>
      </w:r>
      <w:r w:rsidR="00331043">
        <w:t>duration, frequency</w:t>
      </w:r>
      <w:r w:rsidR="0085796A">
        <w:t xml:space="preserve">, or spatial extent of the driver or constraint </w:t>
      </w:r>
      <w:r w:rsidR="00034CF1">
        <w:t xml:space="preserve">consistently </w:t>
      </w:r>
      <w:r w:rsidR="0085796A">
        <w:t xml:space="preserve">results in a decrease in </w:t>
      </w:r>
      <w:r w:rsidR="0085796A" w:rsidRPr="00D47218">
        <w:t>quality, abundance, and</w:t>
      </w:r>
      <w:r w:rsidR="0085796A">
        <w:t>/or</w:t>
      </w:r>
      <w:r w:rsidR="0085796A" w:rsidRPr="00D47218">
        <w:t xml:space="preserve"> spatial and temporal distributions of </w:t>
      </w:r>
      <w:r w:rsidR="0085796A">
        <w:t xml:space="preserve">the </w:t>
      </w:r>
      <w:r w:rsidR="002D7FAB">
        <w:t>affected condition</w:t>
      </w:r>
      <w:r w:rsidR="0085796A">
        <w:t xml:space="preserve">. </w:t>
      </w:r>
    </w:p>
    <w:p w14:paraId="0EB45DEE" w14:textId="77777777" w:rsidR="0085796A" w:rsidRDefault="0085796A" w:rsidP="0085796A">
      <w:pPr>
        <w:pStyle w:val="ListParagraph"/>
        <w:numPr>
          <w:ilvl w:val="0"/>
          <w:numId w:val="5"/>
        </w:numPr>
      </w:pPr>
      <w:r w:rsidRPr="0085796A">
        <w:rPr>
          <w:u w:val="single"/>
        </w:rPr>
        <w:t>No Effect</w:t>
      </w:r>
      <w:r>
        <w:t xml:space="preserve">: </w:t>
      </w:r>
      <w:r w:rsidR="00034CF1">
        <w:t xml:space="preserve">An increase or decrease in the magnitude, </w:t>
      </w:r>
      <w:r w:rsidR="00331043">
        <w:t>duration, frequency</w:t>
      </w:r>
      <w:r w:rsidR="00034CF1">
        <w:t xml:space="preserve">, or spatial extent of the driver or constraint does not consistently result in an increase or decrease in </w:t>
      </w:r>
      <w:r w:rsidR="00034CF1" w:rsidRPr="00D47218">
        <w:t>quality, abundance, and</w:t>
      </w:r>
      <w:r w:rsidR="00034CF1">
        <w:t>/or</w:t>
      </w:r>
      <w:r w:rsidR="00034CF1" w:rsidRPr="00D47218">
        <w:t xml:space="preserve"> spatial and temporal distributions of </w:t>
      </w:r>
      <w:r w:rsidR="00034CF1">
        <w:t xml:space="preserve">the </w:t>
      </w:r>
      <w:r w:rsidR="002D7FAB">
        <w:t>affected condition</w:t>
      </w:r>
      <w:r w:rsidR="00FA56DB">
        <w:t>.</w:t>
      </w:r>
    </w:p>
    <w:p w14:paraId="38843A32" w14:textId="77777777" w:rsidR="00FA56DB" w:rsidRDefault="00571C08" w:rsidP="00571C08">
      <w:pPr>
        <w:pStyle w:val="ListParagraph"/>
        <w:numPr>
          <w:ilvl w:val="0"/>
          <w:numId w:val="5"/>
        </w:numPr>
      </w:pPr>
      <w:r w:rsidRPr="0085796A">
        <w:rPr>
          <w:u w:val="single"/>
        </w:rPr>
        <w:t>Unknown</w:t>
      </w:r>
      <w:r w:rsidR="00FA56DB">
        <w:t xml:space="preserve">: </w:t>
      </w:r>
      <w:r w:rsidR="00C35A3B">
        <w:t xml:space="preserve">There is not </w:t>
      </w:r>
      <w:proofErr w:type="gramStart"/>
      <w:r w:rsidR="00C35A3B">
        <w:t>s</w:t>
      </w:r>
      <w:r w:rsidR="00C35A3B" w:rsidRPr="00507EB5">
        <w:t>ufficient</w:t>
      </w:r>
      <w:proofErr w:type="gramEnd"/>
      <w:r w:rsidR="00C35A3B" w:rsidRPr="00507EB5">
        <w:t xml:space="preserve"> information</w:t>
      </w:r>
      <w:r w:rsidRPr="00571C08">
        <w:t>, with which to evaluate the direction of effect.</w:t>
      </w:r>
    </w:p>
    <w:bookmarkEnd w:id="5"/>
    <w:p w14:paraId="43B9559F" w14:textId="77777777" w:rsidR="005C2A3B" w:rsidRDefault="005C2A3B" w:rsidP="005C2A3B">
      <w:pPr>
        <w:pStyle w:val="Heading2"/>
        <w:ind w:left="720" w:hanging="720"/>
      </w:pPr>
      <w:r>
        <w:t>Confidence (Rating Definitions)</w:t>
      </w:r>
    </w:p>
    <w:p w14:paraId="1DC2FE73" w14:textId="2CF472E2" w:rsidR="00B63248" w:rsidRPr="00B63248" w:rsidRDefault="00B63248" w:rsidP="008A5DC6">
      <w:r>
        <w:t>Note, not all sources of evidence or knowledge bear equal weight.  It is critical for the resource teams to strictly follow the definitions below.</w:t>
      </w:r>
    </w:p>
    <w:p w14:paraId="38169D36" w14:textId="77777777" w:rsidR="002D7FAB" w:rsidRDefault="002D7FAB" w:rsidP="002D7FAB">
      <w:pPr>
        <w:pStyle w:val="ListParagraph"/>
        <w:numPr>
          <w:ilvl w:val="0"/>
          <w:numId w:val="5"/>
        </w:numPr>
      </w:pPr>
      <w:bookmarkStart w:id="6" w:name="OLE_LINK6"/>
      <w:r w:rsidRPr="00D33C48">
        <w:rPr>
          <w:u w:val="single"/>
        </w:rPr>
        <w:t>High</w:t>
      </w:r>
      <w:r>
        <w:t>: Current u</w:t>
      </w:r>
      <w:r w:rsidRPr="00D33C48">
        <w:t xml:space="preserve">nderstanding of </w:t>
      </w:r>
      <w:r>
        <w:t xml:space="preserve">the </w:t>
      </w:r>
      <w:r w:rsidR="00792482">
        <w:t xml:space="preserve">proposed </w:t>
      </w:r>
      <w:r>
        <w:t>cause-effect relationship</w:t>
      </w:r>
      <w:r w:rsidRPr="00D33C48">
        <w:t xml:space="preserve"> is subject to little or no disagreement or uncertainty </w:t>
      </w:r>
      <w:r>
        <w:t xml:space="preserve">among investigators and </w:t>
      </w:r>
      <w:r w:rsidRPr="00D33C48">
        <w:t>in peer-reviewed studies</w:t>
      </w:r>
      <w:r>
        <w:t>; is supported by substantial, high-quality</w:t>
      </w:r>
      <w:r w:rsidR="008B0574">
        <w:t>, documented</w:t>
      </w:r>
      <w:r>
        <w:t xml:space="preserve"> expert knowledge and/or evidence and, where appropriate, by well-accepted statistical analyses; and is consistent with w</w:t>
      </w:r>
      <w:r w:rsidRPr="00D33C48">
        <w:t xml:space="preserve">ell-accepted principles </w:t>
      </w:r>
      <w:r>
        <w:t xml:space="preserve">in the relevant fields of knowledge </w:t>
      </w:r>
      <w:r w:rsidRPr="00D33C48">
        <w:t xml:space="preserve">and/or </w:t>
      </w:r>
      <w:r>
        <w:t xml:space="preserve">with </w:t>
      </w:r>
      <w:r w:rsidRPr="00D33C48">
        <w:t>studies in highly analogous systems.</w:t>
      </w:r>
    </w:p>
    <w:p w14:paraId="569A0266" w14:textId="77777777" w:rsidR="002D7FAB" w:rsidRDefault="002D7FAB" w:rsidP="002D7FAB">
      <w:pPr>
        <w:pStyle w:val="ListParagraph"/>
        <w:numPr>
          <w:ilvl w:val="0"/>
          <w:numId w:val="5"/>
        </w:numPr>
      </w:pPr>
      <w:r>
        <w:rPr>
          <w:u w:val="single"/>
        </w:rPr>
        <w:t>Medium</w:t>
      </w:r>
      <w:r w:rsidRPr="00791B46">
        <w:t>:</w:t>
      </w:r>
      <w:r>
        <w:t xml:space="preserve"> Current u</w:t>
      </w:r>
      <w:r w:rsidRPr="00D33C48">
        <w:t xml:space="preserve">nderstanding of </w:t>
      </w:r>
      <w:r>
        <w:t xml:space="preserve">the </w:t>
      </w:r>
      <w:r w:rsidR="00792482">
        <w:t xml:space="preserve">proposed </w:t>
      </w:r>
      <w:r>
        <w:t>cause-effect relationship</w:t>
      </w:r>
      <w:r w:rsidRPr="00D33C48">
        <w:t xml:space="preserve"> is subject to </w:t>
      </w:r>
      <w:r>
        <w:t>moderate</w:t>
      </w:r>
      <w:r w:rsidRPr="00D33C48">
        <w:t xml:space="preserve"> disagreement or uncertainty </w:t>
      </w:r>
      <w:r>
        <w:t xml:space="preserve">among investigators and among </w:t>
      </w:r>
      <w:r w:rsidRPr="00D33C48">
        <w:t>peer-reviewed studies</w:t>
      </w:r>
      <w:r>
        <w:t xml:space="preserve">; and is supported by some </w:t>
      </w:r>
      <w:r w:rsidR="008B0574">
        <w:t xml:space="preserve">documented </w:t>
      </w:r>
      <w:r>
        <w:t>expert knowledge and/or evidence and analyses</w:t>
      </w:r>
      <w:r w:rsidR="00E63EA0">
        <w:t>. The expert knowledge and/or evidence and analyses</w:t>
      </w:r>
      <w:r>
        <w:t xml:space="preserve"> may be limited or subject to methodological weaknesses</w:t>
      </w:r>
      <w:r w:rsidR="00E63EA0">
        <w:t xml:space="preserve">, </w:t>
      </w:r>
      <w:r>
        <w:t xml:space="preserve">but nevertheless may be consistent with </w:t>
      </w:r>
      <w:r w:rsidRPr="00D33C48">
        <w:t xml:space="preserve">well-accepted principles </w:t>
      </w:r>
      <w:r>
        <w:t xml:space="preserve">in the relevant fields of knowledge </w:t>
      </w:r>
      <w:r w:rsidRPr="00D33C48">
        <w:t xml:space="preserve">and/or </w:t>
      </w:r>
      <w:r>
        <w:t xml:space="preserve">with </w:t>
      </w:r>
      <w:r w:rsidRPr="00D33C48">
        <w:t>studies in highly analogous systems.</w:t>
      </w:r>
    </w:p>
    <w:p w14:paraId="6D5ADE77" w14:textId="77777777" w:rsidR="002D7FAB" w:rsidRDefault="002D7FAB" w:rsidP="00EE0AA7">
      <w:pPr>
        <w:pStyle w:val="ListParagraph"/>
        <w:numPr>
          <w:ilvl w:val="0"/>
          <w:numId w:val="5"/>
        </w:numPr>
      </w:pPr>
      <w:r>
        <w:rPr>
          <w:u w:val="single"/>
        </w:rPr>
        <w:t>Low</w:t>
      </w:r>
      <w:r w:rsidRPr="0027132C">
        <w:t>:</w:t>
      </w:r>
      <w:r>
        <w:t xml:space="preserve"> Current u</w:t>
      </w:r>
      <w:r w:rsidRPr="00D33C48">
        <w:t xml:space="preserve">nderstanding of </w:t>
      </w:r>
      <w:r>
        <w:t xml:space="preserve">the </w:t>
      </w:r>
      <w:r w:rsidR="00792482">
        <w:t xml:space="preserve">proposed </w:t>
      </w:r>
      <w:r>
        <w:t>cause-effect relationship</w:t>
      </w:r>
      <w:r w:rsidRPr="00D33C48">
        <w:t xml:space="preserve"> is subject to </w:t>
      </w:r>
      <w:r>
        <w:t>substantial</w:t>
      </w:r>
      <w:r w:rsidRPr="00D33C48">
        <w:t xml:space="preserve"> disagreement or uncertainty </w:t>
      </w:r>
      <w:r>
        <w:t xml:space="preserve">among investigators and among </w:t>
      </w:r>
      <w:r w:rsidRPr="00D33C48">
        <w:t>peer-reviewed studies</w:t>
      </w:r>
      <w:r>
        <w:t xml:space="preserve">; is supported by only limited </w:t>
      </w:r>
      <w:r w:rsidR="007E01E4">
        <w:t xml:space="preserve">or undocumented </w:t>
      </w:r>
      <w:r>
        <w:t xml:space="preserve">expert knowledge and/or evidence and analyses that may also be subject to methodological weaknesses; and may be inconsistent with </w:t>
      </w:r>
      <w:r w:rsidRPr="00D33C48">
        <w:t xml:space="preserve">well-accepted principles </w:t>
      </w:r>
      <w:r>
        <w:t xml:space="preserve">in the relevant fields of knowledge </w:t>
      </w:r>
      <w:r w:rsidRPr="00D33C48">
        <w:t xml:space="preserve">and/or </w:t>
      </w:r>
      <w:r>
        <w:t xml:space="preserve">with </w:t>
      </w:r>
      <w:r w:rsidRPr="00D33C48">
        <w:t>studies in highly analogous systems.</w:t>
      </w:r>
      <w:r w:rsidR="00F3334B">
        <w:t xml:space="preserve"> </w:t>
      </w:r>
      <w:r w:rsidR="00F3334B" w:rsidRPr="00F3334B">
        <w:t xml:space="preserve">Ratings of </w:t>
      </w:r>
      <w:r w:rsidR="00F3334B">
        <w:t>“U</w:t>
      </w:r>
      <w:r w:rsidR="00F3334B" w:rsidRPr="00F3334B">
        <w:t>nknown</w:t>
      </w:r>
      <w:r w:rsidR="00F3334B">
        <w:t>”</w:t>
      </w:r>
      <w:r w:rsidR="00F3334B" w:rsidRPr="00F3334B">
        <w:t xml:space="preserve"> for the strength and/or direction of an effect typically receive ratings of </w:t>
      </w:r>
      <w:r w:rsidR="00F3334B">
        <w:t>“L</w:t>
      </w:r>
      <w:r w:rsidR="00F3334B" w:rsidRPr="00F3334B">
        <w:t>ow</w:t>
      </w:r>
      <w:r w:rsidR="00F3334B">
        <w:t>”</w:t>
      </w:r>
      <w:r w:rsidR="00F3334B" w:rsidRPr="00F3334B">
        <w:t xml:space="preserve"> for confidence.</w:t>
      </w:r>
    </w:p>
    <w:p w14:paraId="52156C26" w14:textId="77777777" w:rsidR="000E1D54" w:rsidRDefault="000E1D54" w:rsidP="000E1D54">
      <w:pPr>
        <w:pStyle w:val="Heading2"/>
        <w:ind w:left="720" w:hanging="720"/>
      </w:pPr>
      <w:r>
        <w:t>Data Entry</w:t>
      </w:r>
    </w:p>
    <w:p w14:paraId="1AE2BD75" w14:textId="77777777" w:rsidR="000E1D54" w:rsidRDefault="000E1D54" w:rsidP="000E1D54">
      <w:r>
        <w:t>The person or team preparing the drivers/constraints table for an individual resource topic will proceed through the following steps:</w:t>
      </w:r>
    </w:p>
    <w:p w14:paraId="078AE835" w14:textId="210732B0" w:rsidR="000E1D54" w:rsidRDefault="000E1D54" w:rsidP="000E1D54">
      <w:pPr>
        <w:pStyle w:val="ListParagraph"/>
        <w:numPr>
          <w:ilvl w:val="0"/>
          <w:numId w:val="15"/>
        </w:numPr>
      </w:pPr>
      <w:r>
        <w:t>Check that the file name correctly identifies the resource topic being addressed (see instruction #1 for status/trend tables, above).</w:t>
      </w:r>
      <w:r w:rsidR="009D067D" w:rsidRPr="009D067D">
        <w:t xml:space="preserve"> </w:t>
      </w:r>
      <w:r w:rsidR="009D067D">
        <w:t>Note, if a 2017 Knowledge Assessment table was prepared, that table should be used.  The following steps, therefore, should mostly consist of verifying that the 2017 Knowledge Assessment information is still valid</w:t>
      </w:r>
      <w:r w:rsidR="009E3101">
        <w:t xml:space="preserve"> and updating information as appropriate</w:t>
      </w:r>
      <w:r w:rsidR="009D067D">
        <w:t>.</w:t>
      </w:r>
    </w:p>
    <w:p w14:paraId="76FADD4B" w14:textId="77777777" w:rsidR="000E1D54" w:rsidRDefault="000E1D54" w:rsidP="000E1D54">
      <w:pPr>
        <w:pStyle w:val="ListParagraph"/>
        <w:numPr>
          <w:ilvl w:val="0"/>
          <w:numId w:val="15"/>
        </w:numPr>
      </w:pPr>
      <w:r>
        <w:t>Insert in Row 2 the name of the resource topic being addressed, by selecting the appropriate name from the provided drop-down list.</w:t>
      </w:r>
      <w:r w:rsidR="002334A6">
        <w:t xml:space="preserve"> The definitions for the Resource Topic entries are provided in the ‘Topic &amp; Action Labels’ worksheet (tab).</w:t>
      </w:r>
    </w:p>
    <w:p w14:paraId="11086E40" w14:textId="77777777" w:rsidR="000E1D54" w:rsidRDefault="000E1D54" w:rsidP="000E1D54">
      <w:pPr>
        <w:pStyle w:val="ListParagraph"/>
        <w:numPr>
          <w:ilvl w:val="0"/>
          <w:numId w:val="15"/>
        </w:numPr>
      </w:pPr>
      <w:r>
        <w:t>Enter the information in Rows 3 and 4 for the names of the table preparer(s) and the preparation date.</w:t>
      </w:r>
    </w:p>
    <w:p w14:paraId="0B7A453A" w14:textId="77777777" w:rsidR="000E1D54" w:rsidRDefault="000E1D54" w:rsidP="000E1D54">
      <w:pPr>
        <w:pStyle w:val="ListParagraph"/>
        <w:numPr>
          <w:ilvl w:val="0"/>
          <w:numId w:val="15"/>
        </w:numPr>
      </w:pPr>
      <w:r w:rsidRPr="000955DD">
        <w:t xml:space="preserve">Enter </w:t>
      </w:r>
      <w:r>
        <w:t xml:space="preserve">the requested </w:t>
      </w:r>
      <w:r w:rsidRPr="000955DD">
        <w:t>information in Rows 7 onward for each resource characteristic of interes</w:t>
      </w:r>
      <w:r>
        <w:t xml:space="preserve">t. </w:t>
      </w:r>
      <w:r w:rsidR="00204603">
        <w:t xml:space="preserve">The person or team preparing the table </w:t>
      </w:r>
      <w:r w:rsidR="00C855E3">
        <w:t>is responsible for entering the names of the drivers and constraints of interest.</w:t>
      </w:r>
      <w:r w:rsidR="00204603">
        <w:t xml:space="preserve"> </w:t>
      </w:r>
      <w:r>
        <w:t xml:space="preserve">The values for </w:t>
      </w:r>
      <w:r w:rsidR="00204603">
        <w:t>Strength</w:t>
      </w:r>
      <w:r>
        <w:t xml:space="preserve">, </w:t>
      </w:r>
      <w:r w:rsidR="00204603">
        <w:t>Direction</w:t>
      </w:r>
      <w:r>
        <w:t>, and Confidence are entered by selecting the appropriate value from the provided drop-down lists. The definitions for the values in these lists are provided in the ‘Scoring Values’ worksheet (tab).</w:t>
      </w:r>
    </w:p>
    <w:p w14:paraId="6CBE697B" w14:textId="77777777" w:rsidR="00B50917" w:rsidRPr="000955DD" w:rsidRDefault="00B50917" w:rsidP="00B50917">
      <w:pPr>
        <w:pStyle w:val="ListParagraph"/>
        <w:numPr>
          <w:ilvl w:val="0"/>
          <w:numId w:val="15"/>
        </w:numPr>
      </w:pPr>
      <w:r>
        <w:t>See below for instructions on Reporting Rationales and Reporting Recommendations.</w:t>
      </w:r>
    </w:p>
    <w:bookmarkEnd w:id="6"/>
    <w:p w14:paraId="5FE1825A" w14:textId="77777777" w:rsidR="00BF197A" w:rsidRDefault="002D7FAB" w:rsidP="00BF197A">
      <w:pPr>
        <w:pStyle w:val="Heading1"/>
      </w:pPr>
      <w:r>
        <w:t>Assessing Effects of</w:t>
      </w:r>
      <w:r w:rsidR="00BF197A">
        <w:t xml:space="preserve"> Management Actions</w:t>
      </w:r>
    </w:p>
    <w:p w14:paraId="69529B79" w14:textId="77777777" w:rsidR="001F68AC" w:rsidRDefault="00BF197A" w:rsidP="00BF197A">
      <w:r>
        <w:t xml:space="preserve">The GCDAMP seeks to manage the impacts of dam operations and related </w:t>
      </w:r>
      <w:r w:rsidR="009241F2">
        <w:t>actions</w:t>
      </w:r>
      <w:r>
        <w:t xml:space="preserve"> on </w:t>
      </w:r>
      <w:r w:rsidR="009241F2">
        <w:t>the Colorado River ecosystem</w:t>
      </w:r>
      <w:r>
        <w:t xml:space="preserve">. GCDAMP management actions constitute a distinct subset of drivers </w:t>
      </w:r>
      <w:r w:rsidRPr="00D47218">
        <w:t>that</w:t>
      </w:r>
      <w:r w:rsidR="004E5D6C">
        <w:t xml:space="preserve"> cause or potentially could cause changes in </w:t>
      </w:r>
      <w:r w:rsidRPr="00D47218">
        <w:t>the quality, abundance, spatial and temporal distributions</w:t>
      </w:r>
      <w:r w:rsidR="009241F2">
        <w:t>, or other characteristics</w:t>
      </w:r>
      <w:r w:rsidRPr="00D47218">
        <w:t xml:space="preserve"> of </w:t>
      </w:r>
      <w:r>
        <w:t>a resource</w:t>
      </w:r>
      <w:r w:rsidR="005959E9">
        <w:t xml:space="preserve"> or other condition</w:t>
      </w:r>
      <w:r w:rsidRPr="00D47218">
        <w:t>.</w:t>
      </w:r>
      <w:r w:rsidR="001F68AC">
        <w:t xml:space="preserve"> </w:t>
      </w:r>
      <w:r w:rsidR="007162AC">
        <w:t xml:space="preserve">As noted above, the present Knowledge Assessment addresses the effects of management actions separately from the effects of other drivers and constraints, as discussed earlier in this guidance document. </w:t>
      </w:r>
      <w:r w:rsidR="005959E9">
        <w:t>The GCDAMP relies on k</w:t>
      </w:r>
      <w:r w:rsidR="001F68AC">
        <w:t xml:space="preserve">nowledge of these effects </w:t>
      </w:r>
      <w:r w:rsidR="005959E9">
        <w:t xml:space="preserve">– known or hypothesized – to </w:t>
      </w:r>
      <w:r w:rsidR="001F68AC">
        <w:t xml:space="preserve">guide </w:t>
      </w:r>
      <w:r w:rsidR="005959E9">
        <w:t>its</w:t>
      </w:r>
      <w:r w:rsidR="001F68AC">
        <w:t xml:space="preserve"> actions.</w:t>
      </w:r>
    </w:p>
    <w:p w14:paraId="21235690" w14:textId="77777777" w:rsidR="005959E9" w:rsidRDefault="005959E9" w:rsidP="005959E9">
      <w:r>
        <w:t xml:space="preserve">The GCDAMP knowledge assessment of </w:t>
      </w:r>
      <w:r w:rsidR="007162AC">
        <w:t xml:space="preserve">the potential effects of </w:t>
      </w:r>
      <w:r w:rsidR="004F3ED7">
        <w:t>each type or management action</w:t>
      </w:r>
      <w:r w:rsidR="007162AC">
        <w:t xml:space="preserve"> on</w:t>
      </w:r>
      <w:r>
        <w:t xml:space="preserve"> each </w:t>
      </w:r>
      <w:r w:rsidR="004E5D6C">
        <w:t>resource</w:t>
      </w:r>
      <w:r>
        <w:t xml:space="preserve"> topic again uses a standard table, an image of which is shown below (</w:t>
      </w:r>
      <w:r w:rsidRPr="00D6009B">
        <w:rPr>
          <w:i/>
        </w:rPr>
        <w:t>not shown actual size</w:t>
      </w:r>
      <w:r w:rsidR="00117494">
        <w:t>)</w:t>
      </w:r>
      <w:r>
        <w:t xml:space="preserve">. A separate spreadsheet again provides the actual (blank) table template. The methodology for the review of </w:t>
      </w:r>
      <w:r w:rsidR="007162AC">
        <w:t xml:space="preserve">the potential effects of </w:t>
      </w:r>
      <w:r w:rsidR="004F3ED7">
        <w:t xml:space="preserve">the various types of </w:t>
      </w:r>
      <w:r w:rsidR="007162AC">
        <w:t xml:space="preserve">management actions </w:t>
      </w:r>
      <w:r>
        <w:t>is adapted from the logic of the National Park Service for its Natural Resources Condition Assessments (</w:t>
      </w:r>
      <w:hyperlink r:id="rId18" w:history="1">
        <w:r w:rsidRPr="00D849E0">
          <w:rPr>
            <w:rStyle w:val="Hyperlink"/>
          </w:rPr>
          <w:t>http://www.nature.nps.gov/water/nrca/</w:t>
        </w:r>
      </w:hyperlink>
      <w:r>
        <w:t xml:space="preserve">) (NPS 2014), with critical additions adapted from </w:t>
      </w:r>
      <w:r w:rsidR="000345B0">
        <w:t xml:space="preserve">the </w:t>
      </w:r>
      <w:r w:rsidR="000345B0" w:rsidRPr="005026C2">
        <w:t>Sac</w:t>
      </w:r>
      <w:r w:rsidR="000345B0">
        <w:t>ramento-San Joaquin Delta </w:t>
      </w:r>
      <w:r w:rsidR="000345B0" w:rsidRPr="005026C2">
        <w:t>Ecosystem Restoration Program (</w:t>
      </w:r>
      <w:hyperlink r:id="rId19" w:history="1">
        <w:r w:rsidR="000345B0" w:rsidRPr="001D2FD6">
          <w:rPr>
            <w:rStyle w:val="Hyperlink"/>
            <w:rFonts w:eastAsia="Calibri"/>
          </w:rPr>
          <w:t>https://www.dfg.ca.gov/ERP/ conceptual_models.asp</w:t>
        </w:r>
      </w:hyperlink>
      <w:r w:rsidR="000345B0">
        <w:t>) (D</w:t>
      </w:r>
      <w:r w:rsidR="000345B0" w:rsidRPr="00C35198">
        <w:t>iGennaro et al. 2012</w:t>
      </w:r>
      <w:r w:rsidR="000345B0">
        <w:t>).</w:t>
      </w:r>
    </w:p>
    <w:p w14:paraId="63BC917A" w14:textId="77777777" w:rsidR="00F11322" w:rsidRDefault="00204603" w:rsidP="005959E9">
      <w:r w:rsidRPr="00204603">
        <w:rPr>
          <w:noProof/>
        </w:rPr>
        <w:drawing>
          <wp:inline distT="0" distB="0" distL="0" distR="0" wp14:anchorId="673A5ABF" wp14:editId="44B85051">
            <wp:extent cx="8595360" cy="790509"/>
            <wp:effectExtent l="19050" t="19050" r="1524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95360" cy="790509"/>
                    </a:xfrm>
                    <a:prstGeom prst="rect">
                      <a:avLst/>
                    </a:prstGeom>
                    <a:noFill/>
                    <a:ln w="3175">
                      <a:solidFill>
                        <a:schemeClr val="tx1"/>
                      </a:solidFill>
                    </a:ln>
                  </pic:spPr>
                </pic:pic>
              </a:graphicData>
            </a:graphic>
          </wp:inline>
        </w:drawing>
      </w:r>
    </w:p>
    <w:p w14:paraId="5425D3E1" w14:textId="77777777" w:rsidR="00872EF2" w:rsidRDefault="007162AC" w:rsidP="005959E9">
      <w:r>
        <w:t xml:space="preserve">The table </w:t>
      </w:r>
      <w:r w:rsidR="00885428">
        <w:t xml:space="preserve">again (as with the assessment of status and trend) </w:t>
      </w:r>
      <w:r>
        <w:t xml:space="preserve">recognizes that GCDAMP investigators typically focus on specific characteristics, conditions, or variables for each </w:t>
      </w:r>
      <w:r w:rsidR="004E5D6C">
        <w:t>resource</w:t>
      </w:r>
      <w:r>
        <w:t xml:space="preserve"> topic</w:t>
      </w:r>
      <w:r w:rsidR="004E5D6C">
        <w:t>; and</w:t>
      </w:r>
      <w:r>
        <w:t xml:space="preserve"> may track each characteristic, condition, or variable using one or more specific, technical measures. The person or team preparing the table </w:t>
      </w:r>
      <w:r w:rsidR="00885428">
        <w:t xml:space="preserve">on the potential effects of </w:t>
      </w:r>
      <w:r w:rsidR="004F3ED7">
        <w:t xml:space="preserve">various types of </w:t>
      </w:r>
      <w:r w:rsidR="00885428">
        <w:t xml:space="preserve">management actions on each </w:t>
      </w:r>
      <w:r w:rsidR="008A07B6">
        <w:t>resource topic</w:t>
      </w:r>
      <w:r>
        <w:t xml:space="preserve"> must assess present understanding of </w:t>
      </w:r>
      <w:r w:rsidRPr="00041CE3">
        <w:rPr>
          <w:i/>
        </w:rPr>
        <w:t>each technical measure</w:t>
      </w:r>
      <w:r>
        <w:t xml:space="preserve"> on three dimensions</w:t>
      </w:r>
      <w:r w:rsidR="00885428">
        <w:t xml:space="preserve">: </w:t>
      </w:r>
      <w:r w:rsidR="005959E9">
        <w:t xml:space="preserve">the hypothesized strength of the effect that the </w:t>
      </w:r>
      <w:r w:rsidR="00885428">
        <w:t>management action</w:t>
      </w:r>
      <w:r w:rsidR="005959E9">
        <w:t xml:space="preserve"> </w:t>
      </w:r>
      <w:r w:rsidR="004F3ED7">
        <w:t xml:space="preserve">type </w:t>
      </w:r>
      <w:r w:rsidR="005959E9">
        <w:t xml:space="preserve">has on </w:t>
      </w:r>
      <w:r w:rsidR="00885428">
        <w:t>the measure</w:t>
      </w:r>
      <w:r w:rsidR="005959E9">
        <w:t xml:space="preserve"> of interest; the hypothesized direction of this effect; and c</w:t>
      </w:r>
      <w:r w:rsidR="00872EF2">
        <w:t xml:space="preserve">onfidence in these assessments. As noted above for the status/trend tables, previous investigations may not yet have defined consistent technical measures for all specific characteristics, conditions, or variables of interest for each resource topic. In these circumstances, the person or team preparing the </w:t>
      </w:r>
      <w:r w:rsidR="005D2730">
        <w:t>management/effects</w:t>
      </w:r>
      <w:r w:rsidR="00872EF2">
        <w:t xml:space="preserve"> table for the resource topic should </w:t>
      </w:r>
      <w:r w:rsidR="005D2730">
        <w:t>use whatever</w:t>
      </w:r>
      <w:r w:rsidR="00872EF2">
        <w:t xml:space="preserve"> technical measures </w:t>
      </w:r>
      <w:r w:rsidR="005D2730">
        <w:t>were proposed in the accompanying status/trend table.</w:t>
      </w:r>
      <w:r w:rsidR="00872EF2">
        <w:t xml:space="preserve"> A subsequent rating of “Low” for confidence (see below) should then reflect the absence of established or well-defined technical measures for the characteristics, conditions, or variables of interest</w:t>
      </w:r>
      <w:r w:rsidR="005D2730">
        <w:t xml:space="preserve"> and the ways in which management actions might affect them</w:t>
      </w:r>
      <w:r w:rsidR="00872EF2">
        <w:t>.</w:t>
      </w:r>
    </w:p>
    <w:p w14:paraId="4A3E416B" w14:textId="77777777" w:rsidR="005959E9" w:rsidRPr="007063B6" w:rsidRDefault="005959E9" w:rsidP="005959E9">
      <w:r>
        <w:t xml:space="preserve">The person or team preparing the </w:t>
      </w:r>
      <w:r w:rsidR="005D2730">
        <w:t xml:space="preserve">management/effects </w:t>
      </w:r>
      <w:r>
        <w:t xml:space="preserve">table for an individual </w:t>
      </w:r>
      <w:r w:rsidR="005D2730">
        <w:t>resource</w:t>
      </w:r>
      <w:r>
        <w:t xml:space="preserve"> topic also must provide brief rationale for the resulting ratings; and may also offer recommendations for monitoring and research to </w:t>
      </w:r>
      <w:r w:rsidR="00872EF2">
        <w:t>address crucial gaps in knowledge</w:t>
      </w:r>
      <w:r>
        <w:t xml:space="preserve">. The definitions and rating levels for assessing </w:t>
      </w:r>
      <w:r w:rsidR="00872EF2">
        <w:t>strength</w:t>
      </w:r>
      <w:r>
        <w:t xml:space="preserve">, </w:t>
      </w:r>
      <w:r w:rsidR="00872EF2">
        <w:t>direction</w:t>
      </w:r>
      <w:r>
        <w:t>, and confidence are as follows.</w:t>
      </w:r>
      <w:r w:rsidR="00117494">
        <w:t xml:space="preserve"> The definitions for strength and direction of effect differ from those applied to drivers and constraints, above, in </w:t>
      </w:r>
      <w:r w:rsidR="00DA48DA">
        <w:t xml:space="preserve">asking the person or team preparing the table to consider also how each action causes </w:t>
      </w:r>
      <w:r w:rsidR="00DA48DA" w:rsidRPr="00DA48DA">
        <w:rPr>
          <w:i/>
        </w:rPr>
        <w:t>or could cause</w:t>
      </w:r>
      <w:r w:rsidR="00DA48DA">
        <w:t xml:space="preserve"> some effect.</w:t>
      </w:r>
    </w:p>
    <w:p w14:paraId="5160882D" w14:textId="77777777" w:rsidR="001969D5" w:rsidRDefault="001969D5" w:rsidP="001969D5">
      <w:pPr>
        <w:pStyle w:val="Heading2"/>
      </w:pPr>
      <w:r>
        <w:t>Strength of Effect (Rating Definitions)</w:t>
      </w:r>
    </w:p>
    <w:p w14:paraId="7F550C2C" w14:textId="41A365DE" w:rsidR="00623D2C" w:rsidRDefault="00623D2C" w:rsidP="00767689">
      <w:pPr>
        <w:pStyle w:val="ListParagraph"/>
        <w:numPr>
          <w:ilvl w:val="0"/>
          <w:numId w:val="5"/>
        </w:numPr>
      </w:pPr>
      <w:bookmarkStart w:id="7" w:name="OLE_LINK7"/>
      <w:r>
        <w:rPr>
          <w:u w:val="single"/>
        </w:rPr>
        <w:t>Strong</w:t>
      </w:r>
      <w:r>
        <w:t xml:space="preserve">: </w:t>
      </w:r>
      <w:r w:rsidR="00767689" w:rsidRPr="00767689">
        <w:t xml:space="preserve">The </w:t>
      </w:r>
      <w:r w:rsidR="004F3ED7">
        <w:t xml:space="preserve">management </w:t>
      </w:r>
      <w:r w:rsidR="00767689" w:rsidRPr="00767689">
        <w:t xml:space="preserve">action causes </w:t>
      </w:r>
      <w:r w:rsidR="00506905">
        <w:t xml:space="preserve">or </w:t>
      </w:r>
      <w:r w:rsidR="00DA48DA">
        <w:t>could</w:t>
      </w:r>
      <w:r w:rsidR="00506905">
        <w:t xml:space="preserve"> cause </w:t>
      </w:r>
      <w:r w:rsidR="00767689" w:rsidRPr="00767689">
        <w:t xml:space="preserve">a relatively large change in the affected </w:t>
      </w:r>
      <w:r w:rsidR="00885428">
        <w:t>measure or condition</w:t>
      </w:r>
      <w:r w:rsidR="00B57E75">
        <w:t xml:space="preserve"> (or, in the case of resource topics that condition is not assessed, the condition trend)</w:t>
      </w:r>
      <w:r w:rsidR="00767689" w:rsidRPr="00767689">
        <w:t xml:space="preserve">, and </w:t>
      </w:r>
      <w:r w:rsidR="002C2BEF">
        <w:t>this</w:t>
      </w:r>
      <w:r w:rsidR="00767689" w:rsidRPr="00767689">
        <w:t xml:space="preserve"> cause-effect relationship is not significantly subject to random variation or affected </w:t>
      </w:r>
      <w:r w:rsidR="00767689">
        <w:t>by variability in other factors</w:t>
      </w:r>
      <w:r w:rsidRPr="00AF734A">
        <w:t>.</w:t>
      </w:r>
    </w:p>
    <w:p w14:paraId="7CC0EE6A" w14:textId="442D36C6" w:rsidR="00623D2C" w:rsidRDefault="00623D2C" w:rsidP="00767689">
      <w:pPr>
        <w:pStyle w:val="ListParagraph"/>
        <w:numPr>
          <w:ilvl w:val="0"/>
          <w:numId w:val="5"/>
        </w:numPr>
      </w:pPr>
      <w:r w:rsidRPr="00235D09">
        <w:rPr>
          <w:u w:val="single"/>
        </w:rPr>
        <w:t>Moderate</w:t>
      </w:r>
      <w:r w:rsidRPr="0089241C">
        <w:t>:</w:t>
      </w:r>
      <w:r w:rsidR="00767689">
        <w:t xml:space="preserve"> </w:t>
      </w:r>
      <w:r w:rsidR="00767689" w:rsidRPr="00767689">
        <w:t xml:space="preserve">The </w:t>
      </w:r>
      <w:r w:rsidR="004F3ED7">
        <w:t xml:space="preserve">management </w:t>
      </w:r>
      <w:r w:rsidR="00767689" w:rsidRPr="00767689">
        <w:t xml:space="preserve">action causes </w:t>
      </w:r>
      <w:r w:rsidR="00506905">
        <w:t xml:space="preserve">or </w:t>
      </w:r>
      <w:r w:rsidR="00DA48DA">
        <w:t>could</w:t>
      </w:r>
      <w:r w:rsidR="00506905">
        <w:t xml:space="preserve"> cause </w:t>
      </w:r>
      <w:r w:rsidR="00767689" w:rsidRPr="00767689">
        <w:t xml:space="preserve">a relatively moderate change in the affected </w:t>
      </w:r>
      <w:r w:rsidR="00885428">
        <w:t>measure or condition</w:t>
      </w:r>
      <w:r w:rsidR="00B57E75">
        <w:t xml:space="preserve"> </w:t>
      </w:r>
      <w:r w:rsidR="008F7C65">
        <w:t>(or, in the case of resource topics that condition is not assessed, the condition trend)</w:t>
      </w:r>
      <w:r w:rsidR="00767689" w:rsidRPr="00767689">
        <w:t xml:space="preserve">, and/or </w:t>
      </w:r>
      <w:r w:rsidR="002C2BEF">
        <w:t>this</w:t>
      </w:r>
      <w:r w:rsidR="00767689" w:rsidRPr="00767689">
        <w:t xml:space="preserve"> cause-effect relationship is subject to moderate random variation or is moderately affected by variability in other factors.</w:t>
      </w:r>
    </w:p>
    <w:p w14:paraId="10875138" w14:textId="37BECB42" w:rsidR="00623D2C" w:rsidRDefault="00623D2C" w:rsidP="00ED7075">
      <w:pPr>
        <w:pStyle w:val="ListParagraph"/>
        <w:numPr>
          <w:ilvl w:val="0"/>
          <w:numId w:val="5"/>
        </w:numPr>
      </w:pPr>
      <w:r>
        <w:rPr>
          <w:u w:val="single"/>
        </w:rPr>
        <w:t>Weak</w:t>
      </w:r>
      <w:r w:rsidRPr="003750FA">
        <w:t>:</w:t>
      </w:r>
      <w:r>
        <w:t xml:space="preserve"> </w:t>
      </w:r>
      <w:r w:rsidR="00ED7075" w:rsidRPr="00ED7075">
        <w:t xml:space="preserve">The </w:t>
      </w:r>
      <w:r w:rsidR="004F3ED7">
        <w:t xml:space="preserve">management </w:t>
      </w:r>
      <w:r w:rsidR="00ED7075" w:rsidRPr="00ED7075">
        <w:t xml:space="preserve">action causes </w:t>
      </w:r>
      <w:r w:rsidR="00506905">
        <w:t xml:space="preserve">or </w:t>
      </w:r>
      <w:r w:rsidR="00DA48DA">
        <w:t>could</w:t>
      </w:r>
      <w:r w:rsidR="00506905">
        <w:t xml:space="preserve"> cause </w:t>
      </w:r>
      <w:r w:rsidR="00ED7075" w:rsidRPr="00ED7075">
        <w:t xml:space="preserve">only a relatively small change in the affected </w:t>
      </w:r>
      <w:r w:rsidR="002C2BEF">
        <w:t>measure or condition</w:t>
      </w:r>
      <w:r w:rsidR="00B57E75">
        <w:t xml:space="preserve"> (or, in the case of resource topics that condition is not assessed, the condition trend)</w:t>
      </w:r>
      <w:r w:rsidR="00ED7075" w:rsidRPr="00ED7075">
        <w:t xml:space="preserve">, and/or </w:t>
      </w:r>
      <w:r w:rsidR="002C2BEF">
        <w:t>this</w:t>
      </w:r>
      <w:r w:rsidR="00ED7075" w:rsidRPr="00ED7075">
        <w:t xml:space="preserve"> cause-effect relationship is subject to significant random variation or is strongly affected by variability in other factors.</w:t>
      </w:r>
    </w:p>
    <w:p w14:paraId="32439CCC" w14:textId="77777777" w:rsidR="002E2B94" w:rsidRDefault="002E2B94" w:rsidP="00571C08">
      <w:pPr>
        <w:pStyle w:val="ListParagraph"/>
        <w:numPr>
          <w:ilvl w:val="0"/>
          <w:numId w:val="5"/>
        </w:numPr>
      </w:pPr>
      <w:r>
        <w:rPr>
          <w:u w:val="single"/>
        </w:rPr>
        <w:t>Unknown</w:t>
      </w:r>
      <w:r>
        <w:t xml:space="preserve">: </w:t>
      </w:r>
      <w:r w:rsidR="00C35A3B">
        <w:t xml:space="preserve">There is not </w:t>
      </w:r>
      <w:proofErr w:type="gramStart"/>
      <w:r w:rsidR="00C35A3B">
        <w:t>sufficient</w:t>
      </w:r>
      <w:proofErr w:type="gramEnd"/>
      <w:r w:rsidR="00C35A3B">
        <w:t xml:space="preserve"> information</w:t>
      </w:r>
      <w:r w:rsidR="00571C08" w:rsidRPr="00571C08">
        <w:t xml:space="preserve">, with which to evaluate the strength of the cause-effect relationship, even though there is sufficient information </w:t>
      </w:r>
      <w:r w:rsidR="00C35A3B">
        <w:t>to support a hypothesis</w:t>
      </w:r>
      <w:r w:rsidR="00571C08" w:rsidRPr="00571C08">
        <w:t xml:space="preserve"> that at least some type of cause-effect relationship may exist. This rating typically would </w:t>
      </w:r>
      <w:r w:rsidR="00C35A3B">
        <w:t>call for</w:t>
      </w:r>
      <w:r w:rsidR="00571C08" w:rsidRPr="00571C08">
        <w:t xml:space="preserve"> ratings of </w:t>
      </w:r>
      <w:r w:rsidR="00571C08">
        <w:t>“U</w:t>
      </w:r>
      <w:r w:rsidR="00571C08" w:rsidRPr="00571C08">
        <w:t>nknown</w:t>
      </w:r>
      <w:r w:rsidR="00571C08">
        <w:t>”</w:t>
      </w:r>
      <w:r w:rsidR="00571C08" w:rsidRPr="00571C08">
        <w:t xml:space="preserve"> for the direction of effect and </w:t>
      </w:r>
      <w:r w:rsidR="00571C08">
        <w:t>“L</w:t>
      </w:r>
      <w:r w:rsidR="00571C08" w:rsidRPr="00571C08">
        <w:t>ow</w:t>
      </w:r>
      <w:r w:rsidR="00571C08">
        <w:t>”</w:t>
      </w:r>
      <w:r w:rsidR="00571C08" w:rsidRPr="00571C08">
        <w:t xml:space="preserve"> for confidence. However, in some cases it may be possible to estimate the direction but not the strength of an effect. In such cases the user must explain why it is possible to assess the direction but not strength of the effect.</w:t>
      </w:r>
    </w:p>
    <w:bookmarkEnd w:id="7"/>
    <w:p w14:paraId="66E31493" w14:textId="77777777" w:rsidR="001969D5" w:rsidRDefault="001969D5" w:rsidP="001969D5">
      <w:pPr>
        <w:pStyle w:val="Heading2"/>
      </w:pPr>
      <w:r>
        <w:t>Direction of Effect (Rating Definitions)</w:t>
      </w:r>
    </w:p>
    <w:p w14:paraId="5C14F725" w14:textId="3A32EB0B" w:rsidR="00C00732" w:rsidRPr="00C00732" w:rsidRDefault="00C00732" w:rsidP="008A5DC6">
      <w:r>
        <w:t>Note, the 2017 Knowledge Assessment used the terms “Positive Effect” and “Negative Effect” but those terms are not used in the present Knowledge Assessment.  A lesson learned from the 2017 Knowledge Assessment was that those terms were interpreted by some persons and teams to be value-based judgements instead of fact-based judgements.  This Knowledge Assessment aims to avoid concerns with potentially co-mingling subjective and objective information by focusing on if the direction of effect is simply “Increasing” or “Decreasing” (see definitions below).</w:t>
      </w:r>
    </w:p>
    <w:p w14:paraId="30993CC5" w14:textId="313DCF7F" w:rsidR="00623D2C" w:rsidRDefault="0058155D" w:rsidP="007D60D3">
      <w:pPr>
        <w:pStyle w:val="ListParagraph"/>
        <w:numPr>
          <w:ilvl w:val="0"/>
          <w:numId w:val="5"/>
        </w:numPr>
      </w:pPr>
      <w:bookmarkStart w:id="8" w:name="OLE_LINK8"/>
      <w:r>
        <w:rPr>
          <w:u w:val="single"/>
        </w:rPr>
        <w:t xml:space="preserve">Increasing </w:t>
      </w:r>
      <w:r w:rsidR="00623D2C">
        <w:rPr>
          <w:u w:val="single"/>
        </w:rPr>
        <w:t>Effect</w:t>
      </w:r>
      <w:r w:rsidR="00623D2C">
        <w:t xml:space="preserve">: </w:t>
      </w:r>
      <w:r w:rsidR="007D60D3" w:rsidRPr="007D60D3">
        <w:t xml:space="preserve">The </w:t>
      </w:r>
      <w:r w:rsidR="004F3ED7">
        <w:t xml:space="preserve">management </w:t>
      </w:r>
      <w:r w:rsidR="007D60D3" w:rsidRPr="007D60D3">
        <w:t xml:space="preserve">action causes </w:t>
      </w:r>
      <w:r w:rsidR="00506905">
        <w:t xml:space="preserve">or </w:t>
      </w:r>
      <w:r w:rsidR="00DA48DA">
        <w:t>could</w:t>
      </w:r>
      <w:r w:rsidR="00506905">
        <w:t xml:space="preserve"> cause </w:t>
      </w:r>
      <w:r w:rsidR="007D60D3" w:rsidRPr="007D60D3">
        <w:t xml:space="preserve">an increase in the quality, abundance, and/or spatial and temporal distributions of the </w:t>
      </w:r>
      <w:r w:rsidR="002C2BEF" w:rsidRPr="00767689">
        <w:t xml:space="preserve">affected </w:t>
      </w:r>
      <w:r w:rsidR="002C2BEF">
        <w:t>measure or condition</w:t>
      </w:r>
      <w:r w:rsidR="007D60D3" w:rsidRPr="007D60D3">
        <w:t>.</w:t>
      </w:r>
    </w:p>
    <w:p w14:paraId="01BD2497" w14:textId="2B4E1128" w:rsidR="00623D2C" w:rsidRDefault="0058155D" w:rsidP="007D60D3">
      <w:pPr>
        <w:pStyle w:val="ListParagraph"/>
        <w:numPr>
          <w:ilvl w:val="0"/>
          <w:numId w:val="5"/>
        </w:numPr>
      </w:pPr>
      <w:r>
        <w:rPr>
          <w:u w:val="single"/>
        </w:rPr>
        <w:t>Decreasing</w:t>
      </w:r>
      <w:r w:rsidR="00623D2C" w:rsidRPr="00EB6DC1">
        <w:rPr>
          <w:u w:val="single"/>
        </w:rPr>
        <w:t xml:space="preserve"> Effect</w:t>
      </w:r>
      <w:r w:rsidR="00623D2C">
        <w:t xml:space="preserve">: </w:t>
      </w:r>
      <w:r w:rsidR="007D60D3" w:rsidRPr="007D60D3">
        <w:t xml:space="preserve">The </w:t>
      </w:r>
      <w:r w:rsidR="004F3ED7">
        <w:t xml:space="preserve">management </w:t>
      </w:r>
      <w:r w:rsidR="007D60D3" w:rsidRPr="007D60D3">
        <w:t xml:space="preserve">action causes </w:t>
      </w:r>
      <w:r w:rsidR="00506905">
        <w:t xml:space="preserve">or </w:t>
      </w:r>
      <w:r w:rsidR="00DA48DA">
        <w:t>could</w:t>
      </w:r>
      <w:r w:rsidR="00506905">
        <w:t xml:space="preserve"> cause </w:t>
      </w:r>
      <w:r w:rsidR="007D60D3" w:rsidRPr="007D60D3">
        <w:t xml:space="preserve">a decrease in the quality, abundance, and/or spatial and temporal distributions of the </w:t>
      </w:r>
      <w:r w:rsidR="002C2BEF" w:rsidRPr="00767689">
        <w:t xml:space="preserve">affected </w:t>
      </w:r>
      <w:r w:rsidR="002C2BEF">
        <w:t>measure or condition</w:t>
      </w:r>
      <w:r w:rsidR="007D60D3" w:rsidRPr="007D60D3">
        <w:t>.</w:t>
      </w:r>
    </w:p>
    <w:p w14:paraId="50317239" w14:textId="77777777" w:rsidR="00623D2C" w:rsidRDefault="00623D2C" w:rsidP="007D60D3">
      <w:pPr>
        <w:pStyle w:val="ListParagraph"/>
        <w:numPr>
          <w:ilvl w:val="0"/>
          <w:numId w:val="5"/>
        </w:numPr>
      </w:pPr>
      <w:r w:rsidRPr="0085796A">
        <w:rPr>
          <w:u w:val="single"/>
        </w:rPr>
        <w:t>No Effect</w:t>
      </w:r>
      <w:r>
        <w:t xml:space="preserve">: </w:t>
      </w:r>
      <w:r w:rsidR="007D60D3" w:rsidRPr="007D60D3">
        <w:t xml:space="preserve">The </w:t>
      </w:r>
      <w:r w:rsidR="004F3ED7">
        <w:t xml:space="preserve">management </w:t>
      </w:r>
      <w:r w:rsidR="007D60D3" w:rsidRPr="007D60D3">
        <w:t xml:space="preserve">action does not </w:t>
      </w:r>
      <w:r w:rsidR="0095374D">
        <w:t xml:space="preserve">or </w:t>
      </w:r>
      <w:r w:rsidR="00DA48DA">
        <w:t>could</w:t>
      </w:r>
      <w:r w:rsidR="0095374D">
        <w:t xml:space="preserve"> not </w:t>
      </w:r>
      <w:r w:rsidR="007D60D3" w:rsidRPr="007D60D3">
        <w:t xml:space="preserve">cause either an increase or a decrease in the quality, abundance, and/or spatial and temporal distributions of the </w:t>
      </w:r>
      <w:r w:rsidR="002C2BEF" w:rsidRPr="00767689">
        <w:t xml:space="preserve">affected </w:t>
      </w:r>
      <w:r w:rsidR="002C2BEF">
        <w:t>measure or condition</w:t>
      </w:r>
      <w:r w:rsidR="002E2B94">
        <w:t>.</w:t>
      </w:r>
    </w:p>
    <w:p w14:paraId="13F7C57C" w14:textId="77777777" w:rsidR="00321C19" w:rsidRDefault="00321C19" w:rsidP="00321C19">
      <w:pPr>
        <w:pStyle w:val="ListParagraph"/>
        <w:numPr>
          <w:ilvl w:val="0"/>
          <w:numId w:val="5"/>
        </w:numPr>
      </w:pPr>
      <w:r w:rsidRPr="0085796A">
        <w:rPr>
          <w:u w:val="single"/>
        </w:rPr>
        <w:t>Unknown</w:t>
      </w:r>
      <w:r>
        <w:t xml:space="preserve">: </w:t>
      </w:r>
      <w:r w:rsidR="00C35A3B">
        <w:t xml:space="preserve">There is not </w:t>
      </w:r>
      <w:proofErr w:type="gramStart"/>
      <w:r w:rsidR="00C35A3B">
        <w:t>sufficient</w:t>
      </w:r>
      <w:proofErr w:type="gramEnd"/>
      <w:r w:rsidR="00C35A3B">
        <w:t xml:space="preserve"> information</w:t>
      </w:r>
      <w:r w:rsidRPr="00571C08">
        <w:t>, with which to evaluate the direction of effect.</w:t>
      </w:r>
    </w:p>
    <w:bookmarkEnd w:id="8"/>
    <w:p w14:paraId="235FE92F" w14:textId="77777777" w:rsidR="001969D5" w:rsidRDefault="001969D5" w:rsidP="001969D5">
      <w:pPr>
        <w:pStyle w:val="Heading2"/>
        <w:ind w:left="720" w:hanging="720"/>
      </w:pPr>
      <w:r>
        <w:t>Confidence (Rating Definitions)</w:t>
      </w:r>
    </w:p>
    <w:p w14:paraId="51318BD7" w14:textId="17D92F57" w:rsidR="00F10F5A" w:rsidRPr="00F10F5A" w:rsidRDefault="00F10F5A" w:rsidP="008A5DC6">
      <w:r>
        <w:t>Note, not all sources of evidence or knowledge bear equal weight.  It is critical for the resource teams to strictly follow the definitions below.</w:t>
      </w:r>
    </w:p>
    <w:p w14:paraId="31818053" w14:textId="77777777" w:rsidR="00C3787D" w:rsidRDefault="00C3787D" w:rsidP="00C3787D">
      <w:pPr>
        <w:pStyle w:val="ListParagraph"/>
        <w:numPr>
          <w:ilvl w:val="0"/>
          <w:numId w:val="5"/>
        </w:numPr>
      </w:pPr>
      <w:bookmarkStart w:id="9" w:name="OLE_LINK9"/>
      <w:r w:rsidRPr="00D33C48">
        <w:rPr>
          <w:u w:val="single"/>
        </w:rPr>
        <w:t>High</w:t>
      </w:r>
      <w:r>
        <w:t>: Current u</w:t>
      </w:r>
      <w:r w:rsidRPr="00D33C48">
        <w:t xml:space="preserve">nderstanding of </w:t>
      </w:r>
      <w:r>
        <w:t>the proposed cause-effect relationship</w:t>
      </w:r>
      <w:r w:rsidRPr="00D33C48">
        <w:t xml:space="preserve"> is subject to little or no disagreement or uncertainty </w:t>
      </w:r>
      <w:r>
        <w:t xml:space="preserve">among investigators and </w:t>
      </w:r>
      <w:r w:rsidRPr="00D33C48">
        <w:t>in peer-reviewed studies</w:t>
      </w:r>
      <w:r>
        <w:t>; is supported by substantial, high-quality</w:t>
      </w:r>
      <w:r w:rsidR="007E01E4">
        <w:t>, documented</w:t>
      </w:r>
      <w:r>
        <w:t xml:space="preserve"> expert knowledge and/or evidence and, where appropriate, by well-accepted statistical analyses; and is consistent with w</w:t>
      </w:r>
      <w:r w:rsidRPr="00D33C48">
        <w:t xml:space="preserve">ell-accepted principles </w:t>
      </w:r>
      <w:r>
        <w:t xml:space="preserve">in the relevant fields of knowledge </w:t>
      </w:r>
      <w:r w:rsidRPr="00D33C48">
        <w:t xml:space="preserve">and/or </w:t>
      </w:r>
      <w:r>
        <w:t xml:space="preserve">with </w:t>
      </w:r>
      <w:r w:rsidRPr="00D33C48">
        <w:t>studies in highly analogous systems.</w:t>
      </w:r>
    </w:p>
    <w:p w14:paraId="5024B83C" w14:textId="77777777" w:rsidR="00C3787D" w:rsidRDefault="00C3787D" w:rsidP="00C3787D">
      <w:pPr>
        <w:pStyle w:val="ListParagraph"/>
        <w:numPr>
          <w:ilvl w:val="0"/>
          <w:numId w:val="5"/>
        </w:numPr>
      </w:pPr>
      <w:r>
        <w:rPr>
          <w:u w:val="single"/>
        </w:rPr>
        <w:t>Medium</w:t>
      </w:r>
      <w:r w:rsidRPr="00791B46">
        <w:t>:</w:t>
      </w:r>
      <w:r>
        <w:t xml:space="preserve"> Current u</w:t>
      </w:r>
      <w:r w:rsidRPr="00D33C48">
        <w:t xml:space="preserve">nderstanding of </w:t>
      </w:r>
      <w:r>
        <w:t>the proposed cause-effect relationship</w:t>
      </w:r>
      <w:r w:rsidRPr="00D33C48">
        <w:t xml:space="preserve"> is subject to </w:t>
      </w:r>
      <w:r>
        <w:t>moderate</w:t>
      </w:r>
      <w:r w:rsidRPr="00D33C48">
        <w:t xml:space="preserve"> disagreement or uncertainty </w:t>
      </w:r>
      <w:r>
        <w:t xml:space="preserve">among investigators and among </w:t>
      </w:r>
      <w:r w:rsidRPr="00D33C48">
        <w:t>peer-reviewed studies</w:t>
      </w:r>
      <w:r>
        <w:t xml:space="preserve">; and is supported by some </w:t>
      </w:r>
      <w:r w:rsidR="007E01E4">
        <w:t xml:space="preserve">documented </w:t>
      </w:r>
      <w:r>
        <w:t xml:space="preserve">expert knowledge and/or evidence and analyses. The expert knowledge and/or evidence and analyses may be limited or subject to methodological weaknesses, but nevertheless may be consistent with </w:t>
      </w:r>
      <w:r w:rsidRPr="00D33C48">
        <w:t xml:space="preserve">well-accepted principles </w:t>
      </w:r>
      <w:r>
        <w:t xml:space="preserve">in the relevant fields of knowledge </w:t>
      </w:r>
      <w:r w:rsidRPr="00D33C48">
        <w:t xml:space="preserve">and/or </w:t>
      </w:r>
      <w:r>
        <w:t xml:space="preserve">with </w:t>
      </w:r>
      <w:r w:rsidRPr="00D33C48">
        <w:t>studies in highly analogous systems.</w:t>
      </w:r>
    </w:p>
    <w:p w14:paraId="2BBCA599" w14:textId="77777777" w:rsidR="00C3787D" w:rsidRDefault="00C3787D" w:rsidP="00EE0AA7">
      <w:pPr>
        <w:pStyle w:val="ListParagraph"/>
        <w:numPr>
          <w:ilvl w:val="0"/>
          <w:numId w:val="5"/>
        </w:numPr>
      </w:pPr>
      <w:r>
        <w:rPr>
          <w:u w:val="single"/>
        </w:rPr>
        <w:t>Low</w:t>
      </w:r>
      <w:r w:rsidRPr="0027132C">
        <w:t>:</w:t>
      </w:r>
      <w:r>
        <w:t xml:space="preserve"> Current u</w:t>
      </w:r>
      <w:r w:rsidRPr="00D33C48">
        <w:t xml:space="preserve">nderstanding of </w:t>
      </w:r>
      <w:r>
        <w:t>the proposed cause-effect relationship</w:t>
      </w:r>
      <w:r w:rsidRPr="00D33C48">
        <w:t xml:space="preserve"> is subject to </w:t>
      </w:r>
      <w:r>
        <w:t>substantial</w:t>
      </w:r>
      <w:r w:rsidRPr="00D33C48">
        <w:t xml:space="preserve"> disagreement or uncertainty </w:t>
      </w:r>
      <w:r>
        <w:t xml:space="preserve">among investigators and among </w:t>
      </w:r>
      <w:r w:rsidRPr="00D33C48">
        <w:t>peer-reviewed studies</w:t>
      </w:r>
      <w:r>
        <w:t xml:space="preserve">; is supported by only limited </w:t>
      </w:r>
      <w:r w:rsidR="007E01E4">
        <w:t xml:space="preserve">or undocumented </w:t>
      </w:r>
      <w:r>
        <w:t xml:space="preserve">expert knowledge and/or evidence and analyses that may also be subject to methodological weaknesses; and may be inconsistent with </w:t>
      </w:r>
      <w:r w:rsidRPr="00D33C48">
        <w:t xml:space="preserve">well-accepted principles </w:t>
      </w:r>
      <w:r>
        <w:t xml:space="preserve">in the relevant fields of knowledge </w:t>
      </w:r>
      <w:r w:rsidRPr="00D33C48">
        <w:t xml:space="preserve">and/or </w:t>
      </w:r>
      <w:r>
        <w:t xml:space="preserve">with </w:t>
      </w:r>
      <w:r w:rsidRPr="00D33C48">
        <w:t>studies in highly analogous systems.</w:t>
      </w:r>
      <w:r w:rsidR="00EE0AA7">
        <w:t xml:space="preserve"> </w:t>
      </w:r>
      <w:r w:rsidR="00EE0AA7" w:rsidRPr="00EE0AA7">
        <w:t xml:space="preserve">Ratings of </w:t>
      </w:r>
      <w:r w:rsidR="00EE0AA7">
        <w:t>“U</w:t>
      </w:r>
      <w:r w:rsidR="00EE0AA7" w:rsidRPr="00EE0AA7">
        <w:t>nknown</w:t>
      </w:r>
      <w:r w:rsidR="00EE0AA7">
        <w:t>”</w:t>
      </w:r>
      <w:r w:rsidR="00EE0AA7" w:rsidRPr="00EE0AA7">
        <w:t xml:space="preserve"> for the strength and/or direction of an effect typically receive ratings of </w:t>
      </w:r>
      <w:r w:rsidR="00EE0AA7">
        <w:t>“L</w:t>
      </w:r>
      <w:r w:rsidR="00EE0AA7" w:rsidRPr="00EE0AA7">
        <w:t>ow</w:t>
      </w:r>
      <w:r w:rsidR="00EE0AA7">
        <w:t>”</w:t>
      </w:r>
      <w:r w:rsidR="00EE0AA7" w:rsidRPr="00EE0AA7">
        <w:t xml:space="preserve"> for confidence.</w:t>
      </w:r>
    </w:p>
    <w:p w14:paraId="7F29A336" w14:textId="77777777" w:rsidR="00204603" w:rsidRDefault="00204603" w:rsidP="00204603">
      <w:pPr>
        <w:pStyle w:val="Heading2"/>
        <w:ind w:left="720" w:hanging="720"/>
      </w:pPr>
      <w:r>
        <w:t>Data Entry</w:t>
      </w:r>
    </w:p>
    <w:p w14:paraId="7B675D81" w14:textId="77777777" w:rsidR="00204603" w:rsidRDefault="00204603" w:rsidP="00204603">
      <w:r>
        <w:t xml:space="preserve">The person or team preparing the </w:t>
      </w:r>
      <w:r w:rsidR="00C855E3">
        <w:t>management/actions</w:t>
      </w:r>
      <w:r>
        <w:t xml:space="preserve"> table for an individual resource topic will proceed through the following steps:</w:t>
      </w:r>
    </w:p>
    <w:p w14:paraId="477B06B0" w14:textId="2A4622F7" w:rsidR="00204603" w:rsidRDefault="00204603" w:rsidP="00204603">
      <w:pPr>
        <w:pStyle w:val="ListParagraph"/>
        <w:numPr>
          <w:ilvl w:val="0"/>
          <w:numId w:val="16"/>
        </w:numPr>
      </w:pPr>
      <w:r>
        <w:t>Check that the file name correctly identifies the resource topic being addressed (see instruction #1 for status/trend tables, above).</w:t>
      </w:r>
      <w:r w:rsidR="002915AF" w:rsidRPr="002915AF">
        <w:t xml:space="preserve"> </w:t>
      </w:r>
      <w:r w:rsidR="002915AF">
        <w:t>Note, if a 2017 Knowledge Assessment table was prepared, that table should be used.  The following steps, therefore, should mostly consist of verifying that the 2017 Knowledge Assessment information is still valid and updating information as appropriate.</w:t>
      </w:r>
    </w:p>
    <w:p w14:paraId="55BC6C45" w14:textId="77777777" w:rsidR="00204603" w:rsidRDefault="00204603" w:rsidP="00204603">
      <w:pPr>
        <w:pStyle w:val="ListParagraph"/>
        <w:numPr>
          <w:ilvl w:val="0"/>
          <w:numId w:val="16"/>
        </w:numPr>
      </w:pPr>
      <w:r>
        <w:t>Insert in Row 2 the name of the resource topic being addressed, by selecting the appropriate name from the provided drop-down list.</w:t>
      </w:r>
      <w:r w:rsidR="002334A6">
        <w:t xml:space="preserve"> The definitions for the Resource Topic entries are provided in the ‘Topic &amp; Action Labels’ worksheet (tab).</w:t>
      </w:r>
    </w:p>
    <w:p w14:paraId="38928735" w14:textId="77777777" w:rsidR="00204603" w:rsidRDefault="00204603" w:rsidP="00204603">
      <w:pPr>
        <w:pStyle w:val="ListParagraph"/>
        <w:numPr>
          <w:ilvl w:val="0"/>
          <w:numId w:val="16"/>
        </w:numPr>
      </w:pPr>
      <w:r>
        <w:t>Enter the information in Rows 3 and 4 for the names of the table preparer(s) and the preparation date.</w:t>
      </w:r>
    </w:p>
    <w:p w14:paraId="6859C48F" w14:textId="77777777" w:rsidR="00204603" w:rsidRDefault="00204603" w:rsidP="00204603">
      <w:pPr>
        <w:pStyle w:val="ListParagraph"/>
        <w:numPr>
          <w:ilvl w:val="0"/>
          <w:numId w:val="16"/>
        </w:numPr>
      </w:pPr>
      <w:r w:rsidRPr="000955DD">
        <w:t xml:space="preserve">Enter </w:t>
      </w:r>
      <w:r>
        <w:t xml:space="preserve">the requested </w:t>
      </w:r>
      <w:r w:rsidRPr="000955DD">
        <w:t>information in Rows 7 onward for each technical measure, for each resource characteristic of interes</w:t>
      </w:r>
      <w:r>
        <w:t xml:space="preserve">t. </w:t>
      </w:r>
      <w:r w:rsidR="00B50917">
        <w:t xml:space="preserve">Select the name of each </w:t>
      </w:r>
      <w:r w:rsidR="00C855E3">
        <w:t>management action</w:t>
      </w:r>
      <w:r w:rsidR="00B50917">
        <w:t xml:space="preserve"> of interest</w:t>
      </w:r>
      <w:r w:rsidR="00C855E3">
        <w:t xml:space="preserve"> from the provided drop-down list. </w:t>
      </w:r>
      <w:r w:rsidR="002334A6">
        <w:t xml:space="preserve">The definitions for the values in the Management Action list are provided in the ‘Topic &amp; Action Labels’ worksheet (tab). </w:t>
      </w:r>
      <w:r>
        <w:t>The values for Strength, Direction, and Confidence are entered by selecting the appropriate value from the provided drop-down lists. The definitions for the values in these lists are provided in the ‘Scoring Values’ worksheet (tab).</w:t>
      </w:r>
    </w:p>
    <w:p w14:paraId="56D686A7" w14:textId="77777777" w:rsidR="00B50917" w:rsidRPr="000955DD" w:rsidRDefault="00B50917" w:rsidP="00204603">
      <w:pPr>
        <w:pStyle w:val="ListParagraph"/>
        <w:numPr>
          <w:ilvl w:val="0"/>
          <w:numId w:val="16"/>
        </w:numPr>
      </w:pPr>
      <w:r>
        <w:t>See below for instructions on Reporting Rationales and Reporting Recommendations.</w:t>
      </w:r>
    </w:p>
    <w:bookmarkEnd w:id="9"/>
    <w:p w14:paraId="7EF8934D" w14:textId="77777777" w:rsidR="00567C1B" w:rsidRDefault="005B4D18" w:rsidP="005B4D18">
      <w:pPr>
        <w:pStyle w:val="Heading1"/>
      </w:pPr>
      <w:r>
        <w:t>Reporting Rationales</w:t>
      </w:r>
    </w:p>
    <w:p w14:paraId="2137DAA0" w14:textId="77777777" w:rsidR="005B4D18" w:rsidRDefault="005B4D18" w:rsidP="00327DA2">
      <w:r>
        <w:t xml:space="preserve">The tables for assessing status and trend, drivers and constraints, and effects of management actions all </w:t>
      </w:r>
      <w:r w:rsidRPr="0079629B">
        <w:t>require</w:t>
      </w:r>
      <w:r>
        <w:t xml:space="preserve"> </w:t>
      </w:r>
      <w:r w:rsidR="0033053C">
        <w:t xml:space="preserve">the user to state the rationale for each assessment (table row). The purpose of these entries is to </w:t>
      </w:r>
      <w:r w:rsidR="0033053C" w:rsidRPr="0033053C">
        <w:rPr>
          <w:i/>
        </w:rPr>
        <w:t>summarize</w:t>
      </w:r>
      <w:r w:rsidR="0033053C">
        <w:t xml:space="preserve"> the information on which the assessment rests. </w:t>
      </w:r>
      <w:r w:rsidR="0079629B">
        <w:t>At its simplest, e</w:t>
      </w:r>
      <w:r w:rsidR="008B0574">
        <w:t xml:space="preserve">ach entry could consist of </w:t>
      </w:r>
      <w:r w:rsidR="0033053C">
        <w:t xml:space="preserve">a </w:t>
      </w:r>
      <w:r w:rsidR="008B0574">
        <w:t xml:space="preserve">brief statement of present understanding accompanied by a </w:t>
      </w:r>
      <w:r w:rsidR="0033053C">
        <w:t>list of key studies or bodies of evidence</w:t>
      </w:r>
      <w:r w:rsidR="008B0574">
        <w:t xml:space="preserve">. Where the assessment rests on more limited evidence </w:t>
      </w:r>
      <w:r w:rsidR="007E01E4">
        <w:t>and/</w:t>
      </w:r>
      <w:r w:rsidR="008B0574">
        <w:t>or documented expert knowledge</w:t>
      </w:r>
      <w:r w:rsidR="007E01E4">
        <w:t xml:space="preserve">, or undocumented expert knowledge, the user may provide </w:t>
      </w:r>
      <w:r w:rsidR="0079629B">
        <w:t>a longer statement explaining</w:t>
      </w:r>
      <w:r w:rsidR="007E01E4">
        <w:t xml:space="preserve"> the assessment – but again with list of key studies or bodies of evidence as appropriate.</w:t>
      </w:r>
      <w:r w:rsidR="000805EB">
        <w:t xml:space="preserve"> In either case, the user should point the reader to any specific documents that may provide a more complete discussion of the topic and explanation of the present assessment.</w:t>
      </w:r>
    </w:p>
    <w:p w14:paraId="76CAE418" w14:textId="77777777" w:rsidR="005B4D18" w:rsidRDefault="005B4D18" w:rsidP="005B4D18">
      <w:pPr>
        <w:pStyle w:val="Heading1"/>
      </w:pPr>
      <w:r>
        <w:t>Reporting Recommendations</w:t>
      </w:r>
    </w:p>
    <w:p w14:paraId="609D60DB" w14:textId="77777777" w:rsidR="00454CD3" w:rsidRDefault="000805EB" w:rsidP="00327DA2">
      <w:r>
        <w:t>The tables for assessing status and trend, drivers and constraints, and effects of management actions all provide a place where the user can offer recommendations concerning monitoring and research needs. The user should identify technical measures or conditions that warrant continuing</w:t>
      </w:r>
      <w:r w:rsidR="00454CD3">
        <w:t xml:space="preserve"> monitoring</w:t>
      </w:r>
      <w:r w:rsidR="00047D7F">
        <w:t xml:space="preserve"> to address ongoing needs for knowledge</w:t>
      </w:r>
      <w:r>
        <w:t xml:space="preserve">, if </w:t>
      </w:r>
      <w:r w:rsidR="00454CD3">
        <w:t>adequate</w:t>
      </w:r>
      <w:r>
        <w:t xml:space="preserve"> monitoring already takes place.</w:t>
      </w:r>
      <w:r w:rsidR="00454CD3">
        <w:t xml:space="preserve"> The user also should identify technical measures or conditions that warrant improved monitoring, if monitoring already takes place but does not meet all needs; or new monitoring in cases where crucial monitoring does not yet take place.</w:t>
      </w:r>
    </w:p>
    <w:p w14:paraId="1099A061" w14:textId="77777777" w:rsidR="005B4D18" w:rsidRDefault="00454CD3" w:rsidP="00327DA2">
      <w:r>
        <w:t xml:space="preserve">Similarly, the user should identify </w:t>
      </w:r>
      <w:r w:rsidR="00D55339">
        <w:t xml:space="preserve">ongoing </w:t>
      </w:r>
      <w:r>
        <w:t xml:space="preserve">research studies that warrant continuation, if </w:t>
      </w:r>
      <w:r w:rsidR="007E4BB3">
        <w:t xml:space="preserve">that research </w:t>
      </w:r>
      <w:r w:rsidR="0079629B">
        <w:t>adequately addresses crucial gaps or weaknesses in knowledge</w:t>
      </w:r>
      <w:r>
        <w:t xml:space="preserve">. The user also should identify </w:t>
      </w:r>
      <w:r w:rsidR="007E4BB3">
        <w:t>ongoing research studies that</w:t>
      </w:r>
      <w:r>
        <w:t xml:space="preserve"> </w:t>
      </w:r>
      <w:r w:rsidR="007E4BB3">
        <w:t xml:space="preserve">need improvement to better address crucial gaps or weaknesses in knowledge; </w:t>
      </w:r>
      <w:r>
        <w:t xml:space="preserve">or new </w:t>
      </w:r>
      <w:r w:rsidR="007E4BB3">
        <w:t xml:space="preserve">research studies to address crucial but </w:t>
      </w:r>
      <w:proofErr w:type="gramStart"/>
      <w:r w:rsidR="007E4BB3">
        <w:t>as yet</w:t>
      </w:r>
      <w:proofErr w:type="gramEnd"/>
      <w:r w:rsidR="007E4BB3">
        <w:t xml:space="preserve"> unattended gaps or weaknesses</w:t>
      </w:r>
      <w:r>
        <w:t>.</w:t>
      </w:r>
    </w:p>
    <w:p w14:paraId="70AA7583" w14:textId="77777777" w:rsidR="000554AE" w:rsidRDefault="00047D7F" w:rsidP="00327DA2">
      <w:r>
        <w:t>Finally, the user may also offer recommendations on ongoing monitoring or research studies that could be reduced in scope or set aside without harming GCDAMP needs.</w:t>
      </w:r>
    </w:p>
    <w:p w14:paraId="566B1F58" w14:textId="77777777" w:rsidR="005B4D18" w:rsidRDefault="005B4D18" w:rsidP="005B4D18">
      <w:pPr>
        <w:pStyle w:val="Heading1"/>
      </w:pPr>
      <w:r>
        <w:t>Literature Cited</w:t>
      </w:r>
    </w:p>
    <w:p w14:paraId="669E5D71" w14:textId="77777777" w:rsidR="006726ED" w:rsidRPr="006726ED" w:rsidRDefault="006726ED" w:rsidP="006726ED">
      <w:pPr>
        <w:pStyle w:val="References"/>
        <w:ind w:left="720" w:hanging="720"/>
        <w:rPr>
          <w:color w:val="0000FF"/>
          <w:u w:val="single"/>
        </w:rPr>
      </w:pPr>
      <w:r w:rsidRPr="001B36F2">
        <w:t>DiGennaro, B., D</w:t>
      </w:r>
      <w:r>
        <w:t xml:space="preserve">. </w:t>
      </w:r>
      <w:r w:rsidRPr="001B36F2">
        <w:t>Reed, C</w:t>
      </w:r>
      <w:r>
        <w:t xml:space="preserve">. </w:t>
      </w:r>
      <w:r w:rsidRPr="001B36F2">
        <w:t>Swanson, L</w:t>
      </w:r>
      <w:r>
        <w:t xml:space="preserve">. </w:t>
      </w:r>
      <w:r w:rsidRPr="001B36F2">
        <w:t>Hastings, Z</w:t>
      </w:r>
      <w:r>
        <w:t xml:space="preserve">. </w:t>
      </w:r>
      <w:r w:rsidRPr="001B36F2">
        <w:t>Hymanson, M</w:t>
      </w:r>
      <w:r>
        <w:t xml:space="preserve">. </w:t>
      </w:r>
      <w:r w:rsidRPr="001B36F2">
        <w:t>Healey, S</w:t>
      </w:r>
      <w:r>
        <w:t>. </w:t>
      </w:r>
      <w:r w:rsidRPr="001B36F2">
        <w:t>Siegel, S</w:t>
      </w:r>
      <w:r>
        <w:t xml:space="preserve">. </w:t>
      </w:r>
      <w:r w:rsidRPr="001B36F2">
        <w:t>Cantrell, and B</w:t>
      </w:r>
      <w:r>
        <w:t xml:space="preserve">.  </w:t>
      </w:r>
      <w:r w:rsidRPr="001B36F2">
        <w:t>Herbold</w:t>
      </w:r>
      <w:r>
        <w:t xml:space="preserve">.  </w:t>
      </w:r>
      <w:r w:rsidRPr="001B36F2">
        <w:t>2012</w:t>
      </w:r>
      <w:r>
        <w:t xml:space="preserve">.  </w:t>
      </w:r>
      <w:r w:rsidRPr="001B36F2">
        <w:t xml:space="preserve">Using </w:t>
      </w:r>
      <w:r>
        <w:t>C</w:t>
      </w:r>
      <w:r w:rsidRPr="001B36F2">
        <w:t xml:space="preserve">onceptual </w:t>
      </w:r>
      <w:r>
        <w:t>M</w:t>
      </w:r>
      <w:r w:rsidRPr="001B36F2">
        <w:t xml:space="preserve">odels and </w:t>
      </w:r>
      <w:r>
        <w:t>D</w:t>
      </w:r>
      <w:r w:rsidRPr="001B36F2">
        <w:t>ecision-</w:t>
      </w:r>
      <w:r>
        <w:t>S</w:t>
      </w:r>
      <w:r w:rsidRPr="001B36F2">
        <w:t xml:space="preserve">upport </w:t>
      </w:r>
      <w:r>
        <w:t>T</w:t>
      </w:r>
      <w:r w:rsidRPr="001B36F2">
        <w:t xml:space="preserve">ools to </w:t>
      </w:r>
      <w:r>
        <w:t>G</w:t>
      </w:r>
      <w:r w:rsidRPr="001B36F2">
        <w:t xml:space="preserve">uide </w:t>
      </w:r>
      <w:r>
        <w:t>Ecosystem R</w:t>
      </w:r>
      <w:r w:rsidRPr="001B36F2">
        <w:t xml:space="preserve">estoration </w:t>
      </w:r>
      <w:r>
        <w:t>P</w:t>
      </w:r>
      <w:r w:rsidRPr="001B36F2">
        <w:t xml:space="preserve">lanning and </w:t>
      </w:r>
      <w:r>
        <w:t>A</w:t>
      </w:r>
      <w:r w:rsidRPr="001B36F2">
        <w:t xml:space="preserve">daptive </w:t>
      </w:r>
      <w:r>
        <w:t>M</w:t>
      </w:r>
      <w:r w:rsidRPr="001B36F2">
        <w:t>anagement:</w:t>
      </w:r>
      <w:r>
        <w:t xml:space="preserve"> </w:t>
      </w:r>
      <w:r w:rsidRPr="001B36F2">
        <w:t xml:space="preserve">An </w:t>
      </w:r>
      <w:r>
        <w:t>E</w:t>
      </w:r>
      <w:r w:rsidRPr="001B36F2">
        <w:t>xample from the Sacramento–San Joaquin Delta, California</w:t>
      </w:r>
      <w:r>
        <w:t xml:space="preserve">.  </w:t>
      </w:r>
      <w:r w:rsidRPr="001B36F2">
        <w:t>San Francisco Estua</w:t>
      </w:r>
      <w:r>
        <w:t>ry and Watershed Science 10(3):</w:t>
      </w:r>
      <w:r w:rsidRPr="001B36F2">
        <w:t>1</w:t>
      </w:r>
      <w:r w:rsidR="0095374D">
        <w:t>-</w:t>
      </w:r>
      <w:r w:rsidRPr="001B36F2">
        <w:t>15</w:t>
      </w:r>
      <w:r>
        <w:t xml:space="preserve">.  </w:t>
      </w:r>
      <w:hyperlink r:id="rId21" w:history="1">
        <w:r w:rsidRPr="000405B6">
          <w:rPr>
            <w:rStyle w:val="Hyperlink2Char"/>
          </w:rPr>
          <w:t>http://escholarship.org/uc/item/3j95x7vt</w:t>
        </w:r>
      </w:hyperlink>
      <w:r>
        <w:t>.</w:t>
      </w:r>
    </w:p>
    <w:p w14:paraId="64739629" w14:textId="77777777" w:rsidR="005B4D18" w:rsidRDefault="00517BC8" w:rsidP="00517BC8">
      <w:pPr>
        <w:ind w:left="720" w:hanging="720"/>
      </w:pPr>
      <w:r>
        <w:t>National Park Service (NPS). 2014. National Park Service-Natural Resource Condition Assessment (</w:t>
      </w:r>
      <w:r w:rsidRPr="00517BC8">
        <w:t>NPS-NRCA</w:t>
      </w:r>
      <w:r>
        <w:t>)</w:t>
      </w:r>
      <w:r w:rsidRPr="00517BC8">
        <w:t xml:space="preserve"> Guidance Update</w:t>
      </w:r>
      <w:r>
        <w:t xml:space="preserve">, </w:t>
      </w:r>
      <w:r w:rsidRPr="00517BC8">
        <w:t>January 20, 2014</w:t>
      </w:r>
      <w:r>
        <w:t xml:space="preserve">. Online: </w:t>
      </w:r>
      <w:hyperlink r:id="rId22" w:history="1">
        <w:r w:rsidR="0095374D">
          <w:rPr>
            <w:rStyle w:val="Hyperlink"/>
          </w:rPr>
          <w:t>http://www.nature.nps.gov/water/nrca/</w:t>
        </w:r>
      </w:hyperlink>
      <w:r>
        <w:t>.</w:t>
      </w:r>
    </w:p>
    <w:sectPr w:rsidR="005B4D18" w:rsidSect="009221BB">
      <w:type w:val="continuous"/>
      <w:pgSz w:w="15840" w:h="12240" w:orient="landscape"/>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203B8" w14:textId="77777777" w:rsidR="00BA5071" w:rsidRDefault="00BA5071" w:rsidP="00EC3449">
      <w:pPr>
        <w:spacing w:after="0"/>
      </w:pPr>
      <w:r>
        <w:separator/>
      </w:r>
    </w:p>
  </w:endnote>
  <w:endnote w:type="continuationSeparator" w:id="0">
    <w:p w14:paraId="2EA843D1" w14:textId="77777777" w:rsidR="00BA5071" w:rsidRDefault="00BA5071" w:rsidP="00EC34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C8167" w14:textId="00F8BD6C" w:rsidR="00454CD3" w:rsidRPr="009241F2" w:rsidRDefault="00D56F88" w:rsidP="008B0359">
    <w:pPr>
      <w:pStyle w:val="Footer"/>
      <w:tabs>
        <w:tab w:val="clear" w:pos="9360"/>
        <w:tab w:val="right" w:pos="12960"/>
      </w:tabs>
      <w:rPr>
        <w:rFonts w:asciiTheme="minorHAnsi" w:hAnsiTheme="minorHAnsi"/>
        <w:sz w:val="18"/>
      </w:rPr>
    </w:pPr>
    <w:r>
      <w:rPr>
        <w:rFonts w:asciiTheme="minorHAnsi" w:hAnsiTheme="minorHAnsi"/>
        <w:sz w:val="18"/>
      </w:rPr>
      <w:t xml:space="preserve">GCDAMP </w:t>
    </w:r>
    <w:r w:rsidR="00454CD3" w:rsidRPr="009241F2">
      <w:rPr>
        <w:rFonts w:asciiTheme="minorHAnsi" w:hAnsiTheme="minorHAnsi"/>
        <w:sz w:val="18"/>
      </w:rPr>
      <w:t>20</w:t>
    </w:r>
    <w:r>
      <w:rPr>
        <w:rFonts w:asciiTheme="minorHAnsi" w:hAnsiTheme="minorHAnsi"/>
        <w:sz w:val="18"/>
      </w:rPr>
      <w:t>1</w:t>
    </w:r>
    <w:r w:rsidR="000E1522">
      <w:rPr>
        <w:rFonts w:asciiTheme="minorHAnsi" w:hAnsiTheme="minorHAnsi"/>
        <w:sz w:val="18"/>
      </w:rPr>
      <w:t>9</w:t>
    </w:r>
    <w:r>
      <w:rPr>
        <w:rFonts w:asciiTheme="minorHAnsi" w:hAnsiTheme="minorHAnsi"/>
        <w:sz w:val="18"/>
      </w:rPr>
      <w:t>-</w:t>
    </w:r>
    <w:r w:rsidR="000E1522">
      <w:rPr>
        <w:rFonts w:asciiTheme="minorHAnsi" w:hAnsiTheme="minorHAnsi"/>
        <w:sz w:val="18"/>
      </w:rPr>
      <w:t>20</w:t>
    </w:r>
    <w:r w:rsidR="00454CD3" w:rsidRPr="009241F2">
      <w:rPr>
        <w:rFonts w:asciiTheme="minorHAnsi" w:hAnsiTheme="minorHAnsi"/>
        <w:sz w:val="18"/>
      </w:rPr>
      <w:t xml:space="preserve"> Knowledge Assessment Guidance</w:t>
    </w:r>
    <w:r w:rsidR="00454CD3" w:rsidRPr="009241F2">
      <w:rPr>
        <w:rFonts w:asciiTheme="minorHAnsi" w:hAnsiTheme="minorHAnsi"/>
        <w:sz w:val="18"/>
      </w:rPr>
      <w:tab/>
    </w:r>
    <w:r w:rsidR="00454CD3">
      <w:rPr>
        <w:rFonts w:asciiTheme="minorHAnsi" w:hAnsiTheme="minorHAnsi"/>
        <w:sz w:val="18"/>
      </w:rPr>
      <w:tab/>
    </w:r>
    <w:r w:rsidR="00454CD3" w:rsidRPr="009241F2">
      <w:rPr>
        <w:rFonts w:asciiTheme="minorHAnsi" w:hAnsiTheme="minorHAnsi"/>
        <w:sz w:val="18"/>
      </w:rPr>
      <w:t xml:space="preserve">page </w:t>
    </w:r>
    <w:r w:rsidR="00454CD3" w:rsidRPr="009241F2">
      <w:rPr>
        <w:rFonts w:asciiTheme="minorHAnsi" w:hAnsiTheme="minorHAnsi"/>
        <w:sz w:val="18"/>
      </w:rPr>
      <w:fldChar w:fldCharType="begin"/>
    </w:r>
    <w:r w:rsidR="00454CD3" w:rsidRPr="009241F2">
      <w:rPr>
        <w:rFonts w:asciiTheme="minorHAnsi" w:hAnsiTheme="minorHAnsi"/>
        <w:sz w:val="18"/>
      </w:rPr>
      <w:instrText xml:space="preserve"> PAGE  \* Arabic  \* MERGEFORMAT </w:instrText>
    </w:r>
    <w:r w:rsidR="00454CD3" w:rsidRPr="009241F2">
      <w:rPr>
        <w:rFonts w:asciiTheme="minorHAnsi" w:hAnsiTheme="minorHAnsi"/>
        <w:sz w:val="18"/>
      </w:rPr>
      <w:fldChar w:fldCharType="separate"/>
    </w:r>
    <w:r w:rsidR="00E922FF">
      <w:rPr>
        <w:rFonts w:asciiTheme="minorHAnsi" w:hAnsiTheme="minorHAnsi"/>
        <w:noProof/>
        <w:sz w:val="18"/>
      </w:rPr>
      <w:t>4</w:t>
    </w:r>
    <w:r w:rsidR="00454CD3" w:rsidRPr="009241F2">
      <w:rPr>
        <w:rFonts w:asciiTheme="minorHAnsi" w:hAnsiTheme="minorHAnsi"/>
        <w:sz w:val="18"/>
      </w:rPr>
      <w:fldChar w:fldCharType="end"/>
    </w:r>
    <w:r w:rsidR="00454CD3" w:rsidRPr="009241F2">
      <w:rPr>
        <w:rFonts w:asciiTheme="minorHAnsi" w:hAnsiTheme="minorHAnsi"/>
        <w:sz w:val="18"/>
      </w:rPr>
      <w:t xml:space="preserve"> of </w:t>
    </w:r>
    <w:r w:rsidR="00454CD3" w:rsidRPr="009241F2">
      <w:rPr>
        <w:rFonts w:asciiTheme="minorHAnsi" w:hAnsiTheme="minorHAnsi"/>
        <w:sz w:val="18"/>
      </w:rPr>
      <w:fldChar w:fldCharType="begin"/>
    </w:r>
    <w:r w:rsidR="00454CD3" w:rsidRPr="009241F2">
      <w:rPr>
        <w:rFonts w:asciiTheme="minorHAnsi" w:hAnsiTheme="minorHAnsi"/>
        <w:sz w:val="18"/>
      </w:rPr>
      <w:instrText xml:space="preserve"> NUMPAGES  \* Arabic  \* MERGEFORMAT </w:instrText>
    </w:r>
    <w:r w:rsidR="00454CD3" w:rsidRPr="009241F2">
      <w:rPr>
        <w:rFonts w:asciiTheme="minorHAnsi" w:hAnsiTheme="minorHAnsi"/>
        <w:sz w:val="18"/>
      </w:rPr>
      <w:fldChar w:fldCharType="separate"/>
    </w:r>
    <w:r w:rsidR="00E922FF">
      <w:rPr>
        <w:rFonts w:asciiTheme="minorHAnsi" w:hAnsiTheme="minorHAnsi"/>
        <w:noProof/>
        <w:sz w:val="18"/>
      </w:rPr>
      <w:t>14</w:t>
    </w:r>
    <w:r w:rsidR="00454CD3" w:rsidRPr="009241F2">
      <w:rPr>
        <w:rFonts w:asciiTheme="minorHAnsi" w:hAnsiTheme="minorHAns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0768D" w14:textId="77777777" w:rsidR="00BA5071" w:rsidRDefault="00BA5071" w:rsidP="00EC3449">
      <w:pPr>
        <w:spacing w:after="0"/>
      </w:pPr>
      <w:r>
        <w:separator/>
      </w:r>
    </w:p>
  </w:footnote>
  <w:footnote w:type="continuationSeparator" w:id="0">
    <w:p w14:paraId="789FD895" w14:textId="77777777" w:rsidR="00BA5071" w:rsidRDefault="00BA5071" w:rsidP="00EC3449">
      <w:pPr>
        <w:spacing w:after="0"/>
      </w:pPr>
      <w:r>
        <w:continuationSeparator/>
      </w:r>
    </w:p>
  </w:footnote>
  <w:footnote w:id="1">
    <w:p w14:paraId="73B55FEF" w14:textId="775A2CB0" w:rsidR="0028466D" w:rsidRDefault="0028466D">
      <w:pPr>
        <w:pStyle w:val="FootnoteText"/>
      </w:pPr>
      <w:r>
        <w:rPr>
          <w:rStyle w:val="FootnoteReference"/>
        </w:rPr>
        <w:footnoteRef/>
      </w:r>
      <w:r>
        <w:t xml:space="preserve"> </w:t>
      </w:r>
      <w:r w:rsidR="00CA468B">
        <w:t xml:space="preserve">The </w:t>
      </w:r>
      <w:r w:rsidR="00A60883">
        <w:t xml:space="preserve">Selected </w:t>
      </w:r>
      <w:r w:rsidR="00CA468B">
        <w:t>Alternative also includes s</w:t>
      </w:r>
      <w:r w:rsidRPr="0028466D">
        <w:t>ummer low flow experiments</w:t>
      </w:r>
      <w:r w:rsidR="00CA468B">
        <w:t xml:space="preserve">. However, these will not be attempted until during the second 10 years of implementation of the LTEMP. </w:t>
      </w:r>
      <w:r w:rsidR="0002606D">
        <w:t>T</w:t>
      </w:r>
      <w:r w:rsidR="00CA468B">
        <w:t>he present Knowledge Assessment must focus on topics that may bear on the Triennial Work Plan for FY 20</w:t>
      </w:r>
      <w:r w:rsidR="00F923C8">
        <w:t>21</w:t>
      </w:r>
      <w:r w:rsidR="00CA468B">
        <w:t>-202</w:t>
      </w:r>
      <w:r w:rsidR="00F923C8">
        <w:t>3</w:t>
      </w:r>
      <w:r w:rsidR="0002606D">
        <w:t>. The present Knowledge Assessment therefore will not address</w:t>
      </w:r>
      <w:r w:rsidR="00CA468B">
        <w:t xml:space="preserve"> the </w:t>
      </w:r>
      <w:r w:rsidR="0002606D">
        <w:t xml:space="preserve">potential effects of </w:t>
      </w:r>
      <w:r w:rsidR="00CA468B">
        <w:t>summer low-flow experiments</w:t>
      </w:r>
      <w:r w:rsidR="0002606D">
        <w:t>.</w:t>
      </w:r>
    </w:p>
  </w:footnote>
  <w:footnote w:id="2">
    <w:p w14:paraId="102E3AEE" w14:textId="77777777" w:rsidR="00CA468B" w:rsidRDefault="00CA468B">
      <w:pPr>
        <w:pStyle w:val="FootnoteText"/>
      </w:pPr>
      <w:r>
        <w:rPr>
          <w:rStyle w:val="FootnoteReference"/>
        </w:rPr>
        <w:footnoteRef/>
      </w:r>
      <w:r>
        <w:t xml:space="preserve"> HFE: High flow experiment</w:t>
      </w:r>
    </w:p>
  </w:footnote>
  <w:footnote w:id="3">
    <w:p w14:paraId="58976D8A" w14:textId="77777777" w:rsidR="00CA468B" w:rsidRDefault="00CA468B">
      <w:pPr>
        <w:pStyle w:val="FootnoteText"/>
      </w:pPr>
      <w:r>
        <w:rPr>
          <w:rStyle w:val="FootnoteReference"/>
        </w:rPr>
        <w:footnoteRef/>
      </w:r>
      <w:r>
        <w:t xml:space="preserve"> LCR: Little Colorado River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4177"/>
    <w:multiLevelType w:val="hybridMultilevel"/>
    <w:tmpl w:val="899A7014"/>
    <w:lvl w:ilvl="0" w:tplc="04090001">
      <w:start w:val="1"/>
      <w:numFmt w:val="bullet"/>
      <w:lvlText w:val=""/>
      <w:lvlJc w:val="left"/>
      <w:pPr>
        <w:ind w:left="4500" w:hanging="360"/>
      </w:pPr>
      <w:rPr>
        <w:rFonts w:ascii="Symbol" w:hAnsi="Symbol"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 w15:restartNumberingAfterBreak="0">
    <w:nsid w:val="064F4434"/>
    <w:multiLevelType w:val="hybridMultilevel"/>
    <w:tmpl w:val="912A9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C6583"/>
    <w:multiLevelType w:val="hybridMultilevel"/>
    <w:tmpl w:val="3C669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A5FFF"/>
    <w:multiLevelType w:val="hybridMultilevel"/>
    <w:tmpl w:val="E9C0F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D2AFF"/>
    <w:multiLevelType w:val="hybridMultilevel"/>
    <w:tmpl w:val="64EAE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6932CE"/>
    <w:multiLevelType w:val="hybridMultilevel"/>
    <w:tmpl w:val="2072F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0579FC"/>
    <w:multiLevelType w:val="hybridMultilevel"/>
    <w:tmpl w:val="2072F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790748"/>
    <w:multiLevelType w:val="hybridMultilevel"/>
    <w:tmpl w:val="70563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34211D"/>
    <w:multiLevelType w:val="hybridMultilevel"/>
    <w:tmpl w:val="0194F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FCC0EA"/>
    <w:multiLevelType w:val="hybridMultilevel"/>
    <w:tmpl w:val="17D8AA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8900D35"/>
    <w:multiLevelType w:val="hybridMultilevel"/>
    <w:tmpl w:val="AF32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8F2244"/>
    <w:multiLevelType w:val="hybridMultilevel"/>
    <w:tmpl w:val="9A0C5D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A400AB1"/>
    <w:multiLevelType w:val="hybridMultilevel"/>
    <w:tmpl w:val="B096F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0045EB"/>
    <w:multiLevelType w:val="hybridMultilevel"/>
    <w:tmpl w:val="2072F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102BE5"/>
    <w:multiLevelType w:val="hybridMultilevel"/>
    <w:tmpl w:val="7640FD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653028"/>
    <w:multiLevelType w:val="hybridMultilevel"/>
    <w:tmpl w:val="CCCC6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DB3019"/>
    <w:multiLevelType w:val="hybridMultilevel"/>
    <w:tmpl w:val="D44AB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3"/>
  </w:num>
  <w:num w:numId="4">
    <w:abstractNumId w:val="12"/>
  </w:num>
  <w:num w:numId="5">
    <w:abstractNumId w:val="4"/>
  </w:num>
  <w:num w:numId="6">
    <w:abstractNumId w:val="10"/>
  </w:num>
  <w:num w:numId="7">
    <w:abstractNumId w:val="7"/>
  </w:num>
  <w:num w:numId="8">
    <w:abstractNumId w:val="14"/>
  </w:num>
  <w:num w:numId="9">
    <w:abstractNumId w:val="1"/>
  </w:num>
  <w:num w:numId="10">
    <w:abstractNumId w:val="9"/>
  </w:num>
  <w:num w:numId="11">
    <w:abstractNumId w:val="2"/>
  </w:num>
  <w:num w:numId="12">
    <w:abstractNumId w:val="15"/>
  </w:num>
  <w:num w:numId="13">
    <w:abstractNumId w:val="0"/>
  </w:num>
  <w:num w:numId="14">
    <w:abstractNumId w:val="13"/>
  </w:num>
  <w:num w:numId="15">
    <w:abstractNumId w:val="6"/>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F39"/>
    <w:rsid w:val="00002B93"/>
    <w:rsid w:val="000031A2"/>
    <w:rsid w:val="00005A07"/>
    <w:rsid w:val="000062EF"/>
    <w:rsid w:val="00013770"/>
    <w:rsid w:val="0001440E"/>
    <w:rsid w:val="00021A34"/>
    <w:rsid w:val="0002606D"/>
    <w:rsid w:val="00027E3D"/>
    <w:rsid w:val="000345B0"/>
    <w:rsid w:val="00034CF1"/>
    <w:rsid w:val="0003737F"/>
    <w:rsid w:val="000377FA"/>
    <w:rsid w:val="0004022B"/>
    <w:rsid w:val="00041CE3"/>
    <w:rsid w:val="00047D7F"/>
    <w:rsid w:val="000554AE"/>
    <w:rsid w:val="00071A33"/>
    <w:rsid w:val="000759E5"/>
    <w:rsid w:val="00077305"/>
    <w:rsid w:val="000805EB"/>
    <w:rsid w:val="00081768"/>
    <w:rsid w:val="0008288C"/>
    <w:rsid w:val="000955DD"/>
    <w:rsid w:val="000A29EB"/>
    <w:rsid w:val="000A2C99"/>
    <w:rsid w:val="000A4375"/>
    <w:rsid w:val="000A6818"/>
    <w:rsid w:val="000B6617"/>
    <w:rsid w:val="000B77A0"/>
    <w:rsid w:val="000B7CD5"/>
    <w:rsid w:val="000C1771"/>
    <w:rsid w:val="000C3F14"/>
    <w:rsid w:val="000D1466"/>
    <w:rsid w:val="000D63A4"/>
    <w:rsid w:val="000D64D8"/>
    <w:rsid w:val="000D668D"/>
    <w:rsid w:val="000E1522"/>
    <w:rsid w:val="000E1D54"/>
    <w:rsid w:val="000E20A6"/>
    <w:rsid w:val="000E303E"/>
    <w:rsid w:val="000E5BFF"/>
    <w:rsid w:val="000E5CAE"/>
    <w:rsid w:val="000E5DF5"/>
    <w:rsid w:val="000E7070"/>
    <w:rsid w:val="000F3D11"/>
    <w:rsid w:val="00102EA4"/>
    <w:rsid w:val="0011175C"/>
    <w:rsid w:val="00112B13"/>
    <w:rsid w:val="0011450E"/>
    <w:rsid w:val="00117494"/>
    <w:rsid w:val="00122DB3"/>
    <w:rsid w:val="00124254"/>
    <w:rsid w:val="001250EB"/>
    <w:rsid w:val="001257BF"/>
    <w:rsid w:val="00130BEF"/>
    <w:rsid w:val="00134F1A"/>
    <w:rsid w:val="00134F9E"/>
    <w:rsid w:val="001354E6"/>
    <w:rsid w:val="00141BE9"/>
    <w:rsid w:val="00142C98"/>
    <w:rsid w:val="00145927"/>
    <w:rsid w:val="00150816"/>
    <w:rsid w:val="00150CFE"/>
    <w:rsid w:val="00154899"/>
    <w:rsid w:val="00170864"/>
    <w:rsid w:val="00170B4F"/>
    <w:rsid w:val="00175D85"/>
    <w:rsid w:val="00184E9A"/>
    <w:rsid w:val="00186E8C"/>
    <w:rsid w:val="00187113"/>
    <w:rsid w:val="00195B6E"/>
    <w:rsid w:val="00195D2F"/>
    <w:rsid w:val="0019687F"/>
    <w:rsid w:val="001969D5"/>
    <w:rsid w:val="001A1F9F"/>
    <w:rsid w:val="001A20AC"/>
    <w:rsid w:val="001A3959"/>
    <w:rsid w:val="001B2567"/>
    <w:rsid w:val="001B7936"/>
    <w:rsid w:val="001C1C8A"/>
    <w:rsid w:val="001C38BD"/>
    <w:rsid w:val="001C5E2C"/>
    <w:rsid w:val="001C61B7"/>
    <w:rsid w:val="001E0FDF"/>
    <w:rsid w:val="001F68AC"/>
    <w:rsid w:val="00203A7C"/>
    <w:rsid w:val="00203AEA"/>
    <w:rsid w:val="00204603"/>
    <w:rsid w:val="0020759F"/>
    <w:rsid w:val="002078EE"/>
    <w:rsid w:val="00214225"/>
    <w:rsid w:val="00216425"/>
    <w:rsid w:val="00217F94"/>
    <w:rsid w:val="00222B49"/>
    <w:rsid w:val="002235BC"/>
    <w:rsid w:val="00226E12"/>
    <w:rsid w:val="00226EDD"/>
    <w:rsid w:val="00230180"/>
    <w:rsid w:val="00231C5C"/>
    <w:rsid w:val="002334A6"/>
    <w:rsid w:val="00234E87"/>
    <w:rsid w:val="00235D09"/>
    <w:rsid w:val="00236AF9"/>
    <w:rsid w:val="002428FB"/>
    <w:rsid w:val="00246B37"/>
    <w:rsid w:val="002477EA"/>
    <w:rsid w:val="00247C95"/>
    <w:rsid w:val="00256609"/>
    <w:rsid w:val="00266292"/>
    <w:rsid w:val="0027118D"/>
    <w:rsid w:val="0027132C"/>
    <w:rsid w:val="002724FD"/>
    <w:rsid w:val="00275E46"/>
    <w:rsid w:val="00280B72"/>
    <w:rsid w:val="002837D9"/>
    <w:rsid w:val="0028466D"/>
    <w:rsid w:val="002860C4"/>
    <w:rsid w:val="002915AF"/>
    <w:rsid w:val="00294516"/>
    <w:rsid w:val="002B2EC7"/>
    <w:rsid w:val="002B5031"/>
    <w:rsid w:val="002B6556"/>
    <w:rsid w:val="002C1CF1"/>
    <w:rsid w:val="002C2BEF"/>
    <w:rsid w:val="002C5EFA"/>
    <w:rsid w:val="002D0E2A"/>
    <w:rsid w:val="002D319B"/>
    <w:rsid w:val="002D37B8"/>
    <w:rsid w:val="002D5448"/>
    <w:rsid w:val="002D6523"/>
    <w:rsid w:val="002D7FAB"/>
    <w:rsid w:val="002E2B94"/>
    <w:rsid w:val="002E4088"/>
    <w:rsid w:val="002F08CD"/>
    <w:rsid w:val="002F19D3"/>
    <w:rsid w:val="002F7743"/>
    <w:rsid w:val="0031450F"/>
    <w:rsid w:val="00316347"/>
    <w:rsid w:val="00316FF9"/>
    <w:rsid w:val="00321C19"/>
    <w:rsid w:val="00324265"/>
    <w:rsid w:val="00325C84"/>
    <w:rsid w:val="003260E8"/>
    <w:rsid w:val="00327DA2"/>
    <w:rsid w:val="0033053C"/>
    <w:rsid w:val="00331043"/>
    <w:rsid w:val="003342F9"/>
    <w:rsid w:val="003405B3"/>
    <w:rsid w:val="00340A00"/>
    <w:rsid w:val="00341417"/>
    <w:rsid w:val="0034389F"/>
    <w:rsid w:val="00361537"/>
    <w:rsid w:val="00367D96"/>
    <w:rsid w:val="003727DF"/>
    <w:rsid w:val="0037411F"/>
    <w:rsid w:val="00374175"/>
    <w:rsid w:val="003750FA"/>
    <w:rsid w:val="00376049"/>
    <w:rsid w:val="003851AF"/>
    <w:rsid w:val="003972CE"/>
    <w:rsid w:val="003A4C6E"/>
    <w:rsid w:val="003B6BCE"/>
    <w:rsid w:val="003B7E59"/>
    <w:rsid w:val="003C200D"/>
    <w:rsid w:val="003D2404"/>
    <w:rsid w:val="003D52DF"/>
    <w:rsid w:val="003D6F93"/>
    <w:rsid w:val="003E1F5B"/>
    <w:rsid w:val="003E5429"/>
    <w:rsid w:val="003E600D"/>
    <w:rsid w:val="003F4D14"/>
    <w:rsid w:val="00401A54"/>
    <w:rsid w:val="00401FA4"/>
    <w:rsid w:val="00406606"/>
    <w:rsid w:val="00411FD0"/>
    <w:rsid w:val="00416FF0"/>
    <w:rsid w:val="0042190B"/>
    <w:rsid w:val="004251C9"/>
    <w:rsid w:val="00430D33"/>
    <w:rsid w:val="004344A2"/>
    <w:rsid w:val="004450E8"/>
    <w:rsid w:val="00446FA7"/>
    <w:rsid w:val="00453F22"/>
    <w:rsid w:val="00454CD3"/>
    <w:rsid w:val="00463E33"/>
    <w:rsid w:val="00463EA6"/>
    <w:rsid w:val="00465D19"/>
    <w:rsid w:val="00483E4E"/>
    <w:rsid w:val="00483F74"/>
    <w:rsid w:val="00484193"/>
    <w:rsid w:val="00491974"/>
    <w:rsid w:val="00495620"/>
    <w:rsid w:val="004957FC"/>
    <w:rsid w:val="00495B60"/>
    <w:rsid w:val="004A3737"/>
    <w:rsid w:val="004B6078"/>
    <w:rsid w:val="004C75E7"/>
    <w:rsid w:val="004D1A2B"/>
    <w:rsid w:val="004D2416"/>
    <w:rsid w:val="004D7FF5"/>
    <w:rsid w:val="004E5D6C"/>
    <w:rsid w:val="004E6383"/>
    <w:rsid w:val="004E6D2C"/>
    <w:rsid w:val="004E7FE0"/>
    <w:rsid w:val="004F2801"/>
    <w:rsid w:val="004F3ED7"/>
    <w:rsid w:val="004F4C69"/>
    <w:rsid w:val="00502078"/>
    <w:rsid w:val="00506905"/>
    <w:rsid w:val="00507EB5"/>
    <w:rsid w:val="00512F55"/>
    <w:rsid w:val="00517BC8"/>
    <w:rsid w:val="0052234C"/>
    <w:rsid w:val="00522512"/>
    <w:rsid w:val="00525408"/>
    <w:rsid w:val="00532210"/>
    <w:rsid w:val="0053382B"/>
    <w:rsid w:val="005339D5"/>
    <w:rsid w:val="00534EA3"/>
    <w:rsid w:val="00541DAA"/>
    <w:rsid w:val="00551CBB"/>
    <w:rsid w:val="005564E5"/>
    <w:rsid w:val="00563B34"/>
    <w:rsid w:val="00564E88"/>
    <w:rsid w:val="00567C1B"/>
    <w:rsid w:val="00571C08"/>
    <w:rsid w:val="0057556E"/>
    <w:rsid w:val="0058155D"/>
    <w:rsid w:val="005826A9"/>
    <w:rsid w:val="005959E9"/>
    <w:rsid w:val="005A186E"/>
    <w:rsid w:val="005B4D18"/>
    <w:rsid w:val="005C2A3B"/>
    <w:rsid w:val="005D2730"/>
    <w:rsid w:val="005D5945"/>
    <w:rsid w:val="005D708D"/>
    <w:rsid w:val="005E0338"/>
    <w:rsid w:val="005E0D16"/>
    <w:rsid w:val="005E3544"/>
    <w:rsid w:val="0060069E"/>
    <w:rsid w:val="00600F0A"/>
    <w:rsid w:val="00604552"/>
    <w:rsid w:val="0060496F"/>
    <w:rsid w:val="00605873"/>
    <w:rsid w:val="00611B2E"/>
    <w:rsid w:val="00616840"/>
    <w:rsid w:val="00623D2C"/>
    <w:rsid w:val="00630899"/>
    <w:rsid w:val="00635181"/>
    <w:rsid w:val="00642AEB"/>
    <w:rsid w:val="006624D4"/>
    <w:rsid w:val="00666AE6"/>
    <w:rsid w:val="006703CD"/>
    <w:rsid w:val="006726ED"/>
    <w:rsid w:val="00672D0E"/>
    <w:rsid w:val="0067550B"/>
    <w:rsid w:val="0067785C"/>
    <w:rsid w:val="00684F22"/>
    <w:rsid w:val="0069013A"/>
    <w:rsid w:val="006A09B2"/>
    <w:rsid w:val="006A11DC"/>
    <w:rsid w:val="006A30AB"/>
    <w:rsid w:val="006A38B1"/>
    <w:rsid w:val="006A4539"/>
    <w:rsid w:val="006C3B52"/>
    <w:rsid w:val="006C5E70"/>
    <w:rsid w:val="006D38EC"/>
    <w:rsid w:val="006D5AB4"/>
    <w:rsid w:val="006D7608"/>
    <w:rsid w:val="006E0ED7"/>
    <w:rsid w:val="006F7C2E"/>
    <w:rsid w:val="007017AD"/>
    <w:rsid w:val="00706624"/>
    <w:rsid w:val="0070668B"/>
    <w:rsid w:val="007113F7"/>
    <w:rsid w:val="00713E6D"/>
    <w:rsid w:val="00714368"/>
    <w:rsid w:val="007162AC"/>
    <w:rsid w:val="00720886"/>
    <w:rsid w:val="00722919"/>
    <w:rsid w:val="00723C8B"/>
    <w:rsid w:val="00724471"/>
    <w:rsid w:val="00726121"/>
    <w:rsid w:val="00741F81"/>
    <w:rsid w:val="00743BE5"/>
    <w:rsid w:val="00747F31"/>
    <w:rsid w:val="0075244A"/>
    <w:rsid w:val="00755832"/>
    <w:rsid w:val="00763167"/>
    <w:rsid w:val="00767689"/>
    <w:rsid w:val="0077060D"/>
    <w:rsid w:val="00772126"/>
    <w:rsid w:val="00772652"/>
    <w:rsid w:val="00772701"/>
    <w:rsid w:val="00773182"/>
    <w:rsid w:val="0077636D"/>
    <w:rsid w:val="00787719"/>
    <w:rsid w:val="00791494"/>
    <w:rsid w:val="00791584"/>
    <w:rsid w:val="007917CF"/>
    <w:rsid w:val="00791B46"/>
    <w:rsid w:val="00792482"/>
    <w:rsid w:val="0079629B"/>
    <w:rsid w:val="00796FC3"/>
    <w:rsid w:val="007A13E6"/>
    <w:rsid w:val="007A7CFA"/>
    <w:rsid w:val="007B7AB9"/>
    <w:rsid w:val="007B7F39"/>
    <w:rsid w:val="007D1846"/>
    <w:rsid w:val="007D3186"/>
    <w:rsid w:val="007D3B8F"/>
    <w:rsid w:val="007D60D3"/>
    <w:rsid w:val="007D6A8C"/>
    <w:rsid w:val="007E01E4"/>
    <w:rsid w:val="007E4BB3"/>
    <w:rsid w:val="007E4C47"/>
    <w:rsid w:val="007E7BCD"/>
    <w:rsid w:val="007F0258"/>
    <w:rsid w:val="007F1AAE"/>
    <w:rsid w:val="007F75E9"/>
    <w:rsid w:val="008031F7"/>
    <w:rsid w:val="008046E6"/>
    <w:rsid w:val="00804A7A"/>
    <w:rsid w:val="00805A0E"/>
    <w:rsid w:val="00807B0F"/>
    <w:rsid w:val="008114AB"/>
    <w:rsid w:val="00814F6A"/>
    <w:rsid w:val="0082336A"/>
    <w:rsid w:val="00824112"/>
    <w:rsid w:val="00833360"/>
    <w:rsid w:val="00840D9A"/>
    <w:rsid w:val="00842630"/>
    <w:rsid w:val="00851A50"/>
    <w:rsid w:val="0085796A"/>
    <w:rsid w:val="00861A51"/>
    <w:rsid w:val="008632F8"/>
    <w:rsid w:val="0086423A"/>
    <w:rsid w:val="00870DE2"/>
    <w:rsid w:val="0087287A"/>
    <w:rsid w:val="00872A49"/>
    <w:rsid w:val="00872EF2"/>
    <w:rsid w:val="00874A6C"/>
    <w:rsid w:val="00874AF6"/>
    <w:rsid w:val="00880079"/>
    <w:rsid w:val="0088341B"/>
    <w:rsid w:val="00885428"/>
    <w:rsid w:val="0089241C"/>
    <w:rsid w:val="00893677"/>
    <w:rsid w:val="00894AF2"/>
    <w:rsid w:val="00896DF6"/>
    <w:rsid w:val="008A07B6"/>
    <w:rsid w:val="008A30F1"/>
    <w:rsid w:val="008A49BC"/>
    <w:rsid w:val="008A5DC6"/>
    <w:rsid w:val="008B0359"/>
    <w:rsid w:val="008B0574"/>
    <w:rsid w:val="008C35EA"/>
    <w:rsid w:val="008D11D9"/>
    <w:rsid w:val="008D3590"/>
    <w:rsid w:val="008D6E6F"/>
    <w:rsid w:val="008E2F52"/>
    <w:rsid w:val="008F03C0"/>
    <w:rsid w:val="008F283B"/>
    <w:rsid w:val="008F37DF"/>
    <w:rsid w:val="008F5EDE"/>
    <w:rsid w:val="008F6341"/>
    <w:rsid w:val="008F64CD"/>
    <w:rsid w:val="008F7903"/>
    <w:rsid w:val="008F7C65"/>
    <w:rsid w:val="009063B5"/>
    <w:rsid w:val="009104DC"/>
    <w:rsid w:val="009124B8"/>
    <w:rsid w:val="00912DBF"/>
    <w:rsid w:val="0091365A"/>
    <w:rsid w:val="00913B67"/>
    <w:rsid w:val="00914F58"/>
    <w:rsid w:val="009204F3"/>
    <w:rsid w:val="009221BB"/>
    <w:rsid w:val="009241F2"/>
    <w:rsid w:val="00926FD5"/>
    <w:rsid w:val="00933E28"/>
    <w:rsid w:val="00940A14"/>
    <w:rsid w:val="00947E78"/>
    <w:rsid w:val="009530BF"/>
    <w:rsid w:val="0095374D"/>
    <w:rsid w:val="00957352"/>
    <w:rsid w:val="0096372C"/>
    <w:rsid w:val="00964807"/>
    <w:rsid w:val="009665D6"/>
    <w:rsid w:val="00987D08"/>
    <w:rsid w:val="00991C24"/>
    <w:rsid w:val="00992C2E"/>
    <w:rsid w:val="009950C2"/>
    <w:rsid w:val="009956FF"/>
    <w:rsid w:val="009970B0"/>
    <w:rsid w:val="009A0880"/>
    <w:rsid w:val="009A3575"/>
    <w:rsid w:val="009D02E8"/>
    <w:rsid w:val="009D067D"/>
    <w:rsid w:val="009D4E01"/>
    <w:rsid w:val="009D52EC"/>
    <w:rsid w:val="009D5738"/>
    <w:rsid w:val="009D5D45"/>
    <w:rsid w:val="009D7691"/>
    <w:rsid w:val="009E0293"/>
    <w:rsid w:val="009E1FBD"/>
    <w:rsid w:val="009E3101"/>
    <w:rsid w:val="00A02213"/>
    <w:rsid w:val="00A026B1"/>
    <w:rsid w:val="00A07652"/>
    <w:rsid w:val="00A211F8"/>
    <w:rsid w:val="00A225C1"/>
    <w:rsid w:val="00A25701"/>
    <w:rsid w:val="00A26273"/>
    <w:rsid w:val="00A30B99"/>
    <w:rsid w:val="00A30D5A"/>
    <w:rsid w:val="00A3547D"/>
    <w:rsid w:val="00A6075F"/>
    <w:rsid w:val="00A60883"/>
    <w:rsid w:val="00A61562"/>
    <w:rsid w:val="00A64907"/>
    <w:rsid w:val="00A65A48"/>
    <w:rsid w:val="00A661D2"/>
    <w:rsid w:val="00A82551"/>
    <w:rsid w:val="00A83D5A"/>
    <w:rsid w:val="00A856EE"/>
    <w:rsid w:val="00A91006"/>
    <w:rsid w:val="00A957B6"/>
    <w:rsid w:val="00AB07BC"/>
    <w:rsid w:val="00AB1274"/>
    <w:rsid w:val="00AB6B58"/>
    <w:rsid w:val="00AC395E"/>
    <w:rsid w:val="00AE35B7"/>
    <w:rsid w:val="00AE7BC0"/>
    <w:rsid w:val="00AF2D7E"/>
    <w:rsid w:val="00AF5672"/>
    <w:rsid w:val="00AF734A"/>
    <w:rsid w:val="00B04420"/>
    <w:rsid w:val="00B1207A"/>
    <w:rsid w:val="00B12672"/>
    <w:rsid w:val="00B138FE"/>
    <w:rsid w:val="00B210FA"/>
    <w:rsid w:val="00B22426"/>
    <w:rsid w:val="00B24B96"/>
    <w:rsid w:val="00B30FD3"/>
    <w:rsid w:val="00B32631"/>
    <w:rsid w:val="00B32773"/>
    <w:rsid w:val="00B32C65"/>
    <w:rsid w:val="00B41C69"/>
    <w:rsid w:val="00B454B6"/>
    <w:rsid w:val="00B46B9D"/>
    <w:rsid w:val="00B46D97"/>
    <w:rsid w:val="00B50917"/>
    <w:rsid w:val="00B57E75"/>
    <w:rsid w:val="00B617CF"/>
    <w:rsid w:val="00B630F1"/>
    <w:rsid w:val="00B63248"/>
    <w:rsid w:val="00B65FBF"/>
    <w:rsid w:val="00B6759C"/>
    <w:rsid w:val="00B6777E"/>
    <w:rsid w:val="00B77351"/>
    <w:rsid w:val="00B824C8"/>
    <w:rsid w:val="00B85845"/>
    <w:rsid w:val="00BA00CA"/>
    <w:rsid w:val="00BA0FD9"/>
    <w:rsid w:val="00BA368B"/>
    <w:rsid w:val="00BA5071"/>
    <w:rsid w:val="00BA595A"/>
    <w:rsid w:val="00BD1659"/>
    <w:rsid w:val="00BD3997"/>
    <w:rsid w:val="00BD462B"/>
    <w:rsid w:val="00BE0B98"/>
    <w:rsid w:val="00BE1843"/>
    <w:rsid w:val="00BE269A"/>
    <w:rsid w:val="00BF197A"/>
    <w:rsid w:val="00BF6E5B"/>
    <w:rsid w:val="00C00732"/>
    <w:rsid w:val="00C07886"/>
    <w:rsid w:val="00C202FF"/>
    <w:rsid w:val="00C20731"/>
    <w:rsid w:val="00C212A3"/>
    <w:rsid w:val="00C21A2A"/>
    <w:rsid w:val="00C251AC"/>
    <w:rsid w:val="00C255EF"/>
    <w:rsid w:val="00C25C62"/>
    <w:rsid w:val="00C27B51"/>
    <w:rsid w:val="00C333C9"/>
    <w:rsid w:val="00C339BC"/>
    <w:rsid w:val="00C35036"/>
    <w:rsid w:val="00C35198"/>
    <w:rsid w:val="00C35A3B"/>
    <w:rsid w:val="00C3787D"/>
    <w:rsid w:val="00C4694F"/>
    <w:rsid w:val="00C51042"/>
    <w:rsid w:val="00C518EC"/>
    <w:rsid w:val="00C5306F"/>
    <w:rsid w:val="00C53A33"/>
    <w:rsid w:val="00C6332D"/>
    <w:rsid w:val="00C64C6F"/>
    <w:rsid w:val="00C65311"/>
    <w:rsid w:val="00C658A9"/>
    <w:rsid w:val="00C65BE3"/>
    <w:rsid w:val="00C66C63"/>
    <w:rsid w:val="00C74E57"/>
    <w:rsid w:val="00C761C2"/>
    <w:rsid w:val="00C771B9"/>
    <w:rsid w:val="00C779AB"/>
    <w:rsid w:val="00C831CC"/>
    <w:rsid w:val="00C85352"/>
    <w:rsid w:val="00C855E3"/>
    <w:rsid w:val="00C85DE3"/>
    <w:rsid w:val="00C905A6"/>
    <w:rsid w:val="00CA2226"/>
    <w:rsid w:val="00CA468B"/>
    <w:rsid w:val="00CB0793"/>
    <w:rsid w:val="00CC440F"/>
    <w:rsid w:val="00CD3BD8"/>
    <w:rsid w:val="00CE008E"/>
    <w:rsid w:val="00CE327F"/>
    <w:rsid w:val="00CF139E"/>
    <w:rsid w:val="00CF171A"/>
    <w:rsid w:val="00CF2213"/>
    <w:rsid w:val="00CF41B3"/>
    <w:rsid w:val="00CF745D"/>
    <w:rsid w:val="00CF7B55"/>
    <w:rsid w:val="00D011D6"/>
    <w:rsid w:val="00D10106"/>
    <w:rsid w:val="00D1345A"/>
    <w:rsid w:val="00D237E8"/>
    <w:rsid w:val="00D25742"/>
    <w:rsid w:val="00D33C48"/>
    <w:rsid w:val="00D3418D"/>
    <w:rsid w:val="00D47218"/>
    <w:rsid w:val="00D51661"/>
    <w:rsid w:val="00D532F0"/>
    <w:rsid w:val="00D5529E"/>
    <w:rsid w:val="00D55339"/>
    <w:rsid w:val="00D56DFD"/>
    <w:rsid w:val="00D56F88"/>
    <w:rsid w:val="00D57BE2"/>
    <w:rsid w:val="00D6009B"/>
    <w:rsid w:val="00D630BA"/>
    <w:rsid w:val="00D7056F"/>
    <w:rsid w:val="00D74B61"/>
    <w:rsid w:val="00D754F9"/>
    <w:rsid w:val="00D75CE8"/>
    <w:rsid w:val="00D80174"/>
    <w:rsid w:val="00D914A8"/>
    <w:rsid w:val="00D91BC9"/>
    <w:rsid w:val="00D92A41"/>
    <w:rsid w:val="00DA22BD"/>
    <w:rsid w:val="00DA48DA"/>
    <w:rsid w:val="00DA60D7"/>
    <w:rsid w:val="00DB07A3"/>
    <w:rsid w:val="00DB30CD"/>
    <w:rsid w:val="00DB3BD6"/>
    <w:rsid w:val="00DB64B3"/>
    <w:rsid w:val="00DB660B"/>
    <w:rsid w:val="00DB6D33"/>
    <w:rsid w:val="00DC51F2"/>
    <w:rsid w:val="00DD495A"/>
    <w:rsid w:val="00DE7BB6"/>
    <w:rsid w:val="00DF532B"/>
    <w:rsid w:val="00DF6816"/>
    <w:rsid w:val="00DF7C5D"/>
    <w:rsid w:val="00E02D58"/>
    <w:rsid w:val="00E0407E"/>
    <w:rsid w:val="00E07161"/>
    <w:rsid w:val="00E12AE1"/>
    <w:rsid w:val="00E2754E"/>
    <w:rsid w:val="00E33898"/>
    <w:rsid w:val="00E34DD3"/>
    <w:rsid w:val="00E35B61"/>
    <w:rsid w:val="00E45395"/>
    <w:rsid w:val="00E463EA"/>
    <w:rsid w:val="00E5100B"/>
    <w:rsid w:val="00E522A1"/>
    <w:rsid w:val="00E53EFB"/>
    <w:rsid w:val="00E63EA0"/>
    <w:rsid w:val="00E706CE"/>
    <w:rsid w:val="00E70E5B"/>
    <w:rsid w:val="00E76872"/>
    <w:rsid w:val="00E84A4E"/>
    <w:rsid w:val="00E922FF"/>
    <w:rsid w:val="00E92C99"/>
    <w:rsid w:val="00E9321C"/>
    <w:rsid w:val="00E943D2"/>
    <w:rsid w:val="00E9514A"/>
    <w:rsid w:val="00EA3784"/>
    <w:rsid w:val="00EA4DE7"/>
    <w:rsid w:val="00EA7577"/>
    <w:rsid w:val="00EB4039"/>
    <w:rsid w:val="00EB586E"/>
    <w:rsid w:val="00EB64FA"/>
    <w:rsid w:val="00EB6DC1"/>
    <w:rsid w:val="00EB7CE3"/>
    <w:rsid w:val="00EC2BF6"/>
    <w:rsid w:val="00EC3449"/>
    <w:rsid w:val="00ED0CB1"/>
    <w:rsid w:val="00ED6C05"/>
    <w:rsid w:val="00ED7075"/>
    <w:rsid w:val="00EE0AA7"/>
    <w:rsid w:val="00EE47F3"/>
    <w:rsid w:val="00EE5A0B"/>
    <w:rsid w:val="00EF452D"/>
    <w:rsid w:val="00EF53B5"/>
    <w:rsid w:val="00F02653"/>
    <w:rsid w:val="00F04D35"/>
    <w:rsid w:val="00F05120"/>
    <w:rsid w:val="00F10F5A"/>
    <w:rsid w:val="00F11322"/>
    <w:rsid w:val="00F12291"/>
    <w:rsid w:val="00F12A74"/>
    <w:rsid w:val="00F21331"/>
    <w:rsid w:val="00F277EF"/>
    <w:rsid w:val="00F30451"/>
    <w:rsid w:val="00F3334B"/>
    <w:rsid w:val="00F34CEE"/>
    <w:rsid w:val="00F377CB"/>
    <w:rsid w:val="00F379F1"/>
    <w:rsid w:val="00F42E37"/>
    <w:rsid w:val="00F46B3C"/>
    <w:rsid w:val="00F5007F"/>
    <w:rsid w:val="00F50DB1"/>
    <w:rsid w:val="00F637F2"/>
    <w:rsid w:val="00F7435F"/>
    <w:rsid w:val="00F80CE9"/>
    <w:rsid w:val="00F81D12"/>
    <w:rsid w:val="00F82212"/>
    <w:rsid w:val="00F82CF4"/>
    <w:rsid w:val="00F843CC"/>
    <w:rsid w:val="00F84CE4"/>
    <w:rsid w:val="00F8596B"/>
    <w:rsid w:val="00F902F7"/>
    <w:rsid w:val="00F919CC"/>
    <w:rsid w:val="00F923C8"/>
    <w:rsid w:val="00FA56DB"/>
    <w:rsid w:val="00FB1B79"/>
    <w:rsid w:val="00FB7444"/>
    <w:rsid w:val="00FC0DF2"/>
    <w:rsid w:val="00FD1318"/>
    <w:rsid w:val="00FD5FB0"/>
    <w:rsid w:val="00FE51D8"/>
    <w:rsid w:val="00FF0D33"/>
    <w:rsid w:val="00FF2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BE4CC"/>
  <w15:docId w15:val="{CA5F07C0-C25C-4168-897D-5F7E81254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00CA"/>
    <w:pPr>
      <w:spacing w:line="240" w:lineRule="auto"/>
    </w:pPr>
    <w:rPr>
      <w:rFonts w:ascii="Times New Roman" w:hAnsi="Times New Roman"/>
      <w:sz w:val="24"/>
    </w:rPr>
  </w:style>
  <w:style w:type="paragraph" w:styleId="Heading1">
    <w:name w:val="heading 1"/>
    <w:basedOn w:val="Normal"/>
    <w:next w:val="Normal"/>
    <w:link w:val="Heading1Char"/>
    <w:uiPriority w:val="9"/>
    <w:qFormat/>
    <w:rsid w:val="004344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5E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31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31A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665D6"/>
    <w:pPr>
      <w:ind w:left="720"/>
      <w:contextualSpacing/>
    </w:pPr>
  </w:style>
  <w:style w:type="character" w:customStyle="1" w:styleId="Heading1Char">
    <w:name w:val="Heading 1 Char"/>
    <w:basedOn w:val="DefaultParagraphFont"/>
    <w:link w:val="Heading1"/>
    <w:uiPriority w:val="9"/>
    <w:rsid w:val="004344A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860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0C4"/>
    <w:rPr>
      <w:rFonts w:ascii="Tahoma" w:hAnsi="Tahoma" w:cs="Tahoma"/>
      <w:sz w:val="16"/>
      <w:szCs w:val="16"/>
    </w:rPr>
  </w:style>
  <w:style w:type="table" w:styleId="TableGrid">
    <w:name w:val="Table Grid"/>
    <w:basedOn w:val="TableNormal"/>
    <w:uiPriority w:val="59"/>
    <w:rsid w:val="00551CB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rsid w:val="008F5ED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84F22"/>
    <w:rPr>
      <w:color w:val="0000FF" w:themeColor="hyperlink"/>
      <w:u w:val="single"/>
    </w:rPr>
  </w:style>
  <w:style w:type="paragraph" w:styleId="FootnoteText">
    <w:name w:val="footnote text"/>
    <w:basedOn w:val="Normal"/>
    <w:link w:val="FootnoteTextChar"/>
    <w:uiPriority w:val="99"/>
    <w:semiHidden/>
    <w:unhideWhenUsed/>
    <w:rsid w:val="00EC3449"/>
    <w:pPr>
      <w:spacing w:after="0"/>
    </w:pPr>
    <w:rPr>
      <w:sz w:val="20"/>
      <w:szCs w:val="20"/>
    </w:rPr>
  </w:style>
  <w:style w:type="character" w:customStyle="1" w:styleId="FootnoteTextChar">
    <w:name w:val="Footnote Text Char"/>
    <w:basedOn w:val="DefaultParagraphFont"/>
    <w:link w:val="FootnoteText"/>
    <w:uiPriority w:val="99"/>
    <w:semiHidden/>
    <w:rsid w:val="00EC3449"/>
    <w:rPr>
      <w:rFonts w:ascii="Times New Roman" w:hAnsi="Times New Roman"/>
      <w:sz w:val="20"/>
      <w:szCs w:val="20"/>
    </w:rPr>
  </w:style>
  <w:style w:type="character" w:styleId="FootnoteReference">
    <w:name w:val="footnote reference"/>
    <w:basedOn w:val="DefaultParagraphFont"/>
    <w:uiPriority w:val="99"/>
    <w:semiHidden/>
    <w:unhideWhenUsed/>
    <w:rsid w:val="00EC3449"/>
    <w:rPr>
      <w:vertAlign w:val="superscript"/>
    </w:rPr>
  </w:style>
  <w:style w:type="paragraph" w:styleId="Header">
    <w:name w:val="header"/>
    <w:basedOn w:val="Normal"/>
    <w:link w:val="HeaderChar"/>
    <w:uiPriority w:val="99"/>
    <w:unhideWhenUsed/>
    <w:rsid w:val="00D80174"/>
    <w:pPr>
      <w:tabs>
        <w:tab w:val="center" w:pos="4680"/>
        <w:tab w:val="right" w:pos="9360"/>
      </w:tabs>
      <w:spacing w:after="0"/>
    </w:pPr>
  </w:style>
  <w:style w:type="character" w:customStyle="1" w:styleId="HeaderChar">
    <w:name w:val="Header Char"/>
    <w:basedOn w:val="DefaultParagraphFont"/>
    <w:link w:val="Header"/>
    <w:uiPriority w:val="99"/>
    <w:rsid w:val="00D80174"/>
    <w:rPr>
      <w:rFonts w:ascii="Times New Roman" w:hAnsi="Times New Roman"/>
      <w:sz w:val="24"/>
    </w:rPr>
  </w:style>
  <w:style w:type="paragraph" w:styleId="Footer">
    <w:name w:val="footer"/>
    <w:basedOn w:val="Normal"/>
    <w:link w:val="FooterChar"/>
    <w:uiPriority w:val="99"/>
    <w:unhideWhenUsed/>
    <w:rsid w:val="00D80174"/>
    <w:pPr>
      <w:tabs>
        <w:tab w:val="center" w:pos="4680"/>
        <w:tab w:val="right" w:pos="9360"/>
      </w:tabs>
      <w:spacing w:after="0"/>
    </w:pPr>
  </w:style>
  <w:style w:type="character" w:customStyle="1" w:styleId="FooterChar">
    <w:name w:val="Footer Char"/>
    <w:basedOn w:val="DefaultParagraphFont"/>
    <w:link w:val="Footer"/>
    <w:uiPriority w:val="99"/>
    <w:rsid w:val="00D80174"/>
    <w:rPr>
      <w:rFonts w:ascii="Times New Roman" w:hAnsi="Times New Roman"/>
      <w:sz w:val="24"/>
    </w:rPr>
  </w:style>
  <w:style w:type="paragraph" w:customStyle="1" w:styleId="References">
    <w:name w:val="References"/>
    <w:basedOn w:val="Normal"/>
    <w:qFormat/>
    <w:rsid w:val="006726ED"/>
    <w:pPr>
      <w:spacing w:before="240" w:after="240"/>
      <w:ind w:left="480" w:hanging="480"/>
    </w:pPr>
    <w:rPr>
      <w:rFonts w:eastAsia="Times New Roman" w:cs="Times New Roman"/>
      <w:szCs w:val="24"/>
    </w:rPr>
  </w:style>
  <w:style w:type="paragraph" w:customStyle="1" w:styleId="Hyperlink2">
    <w:name w:val="Hyperlink2"/>
    <w:basedOn w:val="NormalWeb"/>
    <w:link w:val="Hyperlink2Char"/>
    <w:qFormat/>
    <w:rsid w:val="006726ED"/>
    <w:pPr>
      <w:spacing w:before="100" w:beforeAutospacing="1" w:after="100" w:afterAutospacing="1"/>
      <w:ind w:left="480" w:hanging="480"/>
    </w:pPr>
    <w:rPr>
      <w:rFonts w:eastAsia="Times New Roman"/>
      <w:color w:val="0000FF"/>
      <w:u w:val="single"/>
    </w:rPr>
  </w:style>
  <w:style w:type="character" w:customStyle="1" w:styleId="Hyperlink2Char">
    <w:name w:val="Hyperlink2 Char"/>
    <w:basedOn w:val="DefaultParagraphFont"/>
    <w:link w:val="Hyperlink2"/>
    <w:rsid w:val="006726ED"/>
    <w:rPr>
      <w:rFonts w:ascii="Times New Roman" w:eastAsia="Times New Roman" w:hAnsi="Times New Roman" w:cs="Times New Roman"/>
      <w:color w:val="0000FF"/>
      <w:sz w:val="24"/>
      <w:szCs w:val="24"/>
      <w:u w:val="single"/>
    </w:rPr>
  </w:style>
  <w:style w:type="paragraph" w:styleId="NormalWeb">
    <w:name w:val="Normal (Web)"/>
    <w:basedOn w:val="Normal"/>
    <w:uiPriority w:val="99"/>
    <w:semiHidden/>
    <w:unhideWhenUsed/>
    <w:rsid w:val="006726ED"/>
    <w:rPr>
      <w:rFonts w:cs="Times New Roman"/>
      <w:szCs w:val="24"/>
    </w:rPr>
  </w:style>
  <w:style w:type="character" w:styleId="FollowedHyperlink">
    <w:name w:val="FollowedHyperlink"/>
    <w:basedOn w:val="DefaultParagraphFont"/>
    <w:uiPriority w:val="99"/>
    <w:semiHidden/>
    <w:unhideWhenUsed/>
    <w:rsid w:val="0095374D"/>
    <w:rPr>
      <w:color w:val="800080" w:themeColor="followedHyperlink"/>
      <w:u w:val="single"/>
    </w:rPr>
  </w:style>
  <w:style w:type="paragraph" w:customStyle="1" w:styleId="Default">
    <w:name w:val="Default"/>
    <w:rsid w:val="009D02E8"/>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987D08"/>
    <w:rPr>
      <w:sz w:val="16"/>
      <w:szCs w:val="16"/>
    </w:rPr>
  </w:style>
  <w:style w:type="paragraph" w:styleId="CommentText">
    <w:name w:val="annotation text"/>
    <w:basedOn w:val="Normal"/>
    <w:link w:val="CommentTextChar"/>
    <w:uiPriority w:val="99"/>
    <w:semiHidden/>
    <w:unhideWhenUsed/>
    <w:rsid w:val="00987D08"/>
    <w:rPr>
      <w:sz w:val="20"/>
      <w:szCs w:val="20"/>
    </w:rPr>
  </w:style>
  <w:style w:type="character" w:customStyle="1" w:styleId="CommentTextChar">
    <w:name w:val="Comment Text Char"/>
    <w:basedOn w:val="DefaultParagraphFont"/>
    <w:link w:val="CommentText"/>
    <w:uiPriority w:val="99"/>
    <w:semiHidden/>
    <w:rsid w:val="00987D0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87D08"/>
    <w:rPr>
      <w:b/>
      <w:bCs/>
    </w:rPr>
  </w:style>
  <w:style w:type="character" w:customStyle="1" w:styleId="CommentSubjectChar">
    <w:name w:val="Comment Subject Char"/>
    <w:basedOn w:val="CommentTextChar"/>
    <w:link w:val="CommentSubject"/>
    <w:uiPriority w:val="99"/>
    <w:semiHidden/>
    <w:rsid w:val="00987D08"/>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fg.ca.gov/ERP/%20conceptual_models.asp" TargetMode="External"/><Relationship Id="rId18" Type="http://schemas.openxmlformats.org/officeDocument/2006/relationships/hyperlink" Target="http://www.nature.nps.gov/water/nrca/" TargetMode="External"/><Relationship Id="rId3" Type="http://schemas.openxmlformats.org/officeDocument/2006/relationships/customXml" Target="../customXml/item3.xml"/><Relationship Id="rId21" Type="http://schemas.openxmlformats.org/officeDocument/2006/relationships/hyperlink" Target="http://escholarship.org/uc/item/3j95x7vt" TargetMode="External"/><Relationship Id="rId7" Type="http://schemas.openxmlformats.org/officeDocument/2006/relationships/settings" Target="settings.xml"/><Relationship Id="rId12" Type="http://schemas.openxmlformats.org/officeDocument/2006/relationships/hyperlink" Target="http://www.nature.nps.gov/water/nrca/"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s://www.dfg.ca.gov/ERP/%20conceptual_models.asp"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nature.nps.gov/water/nrca/"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dfg.ca.gov/ERP/%20conceptual_models.a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hyperlink" Target="http://www.nature.nps.gov/water/nrca/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DocumentLibraryPermissions xmlns="a767b45d-84e4-426c-9cea-afba99bc66be" xsi:nil="true"/>
    <MigrationWizIdSecurityGroups xmlns="a767b45d-84e4-426c-9cea-afba99bc66be" xsi:nil="true"/>
    <MigrationWizId xmlns="a767b45d-84e4-426c-9cea-afba99bc66be" xsi:nil="true"/>
    <MigrationWizIdPermissionLevels xmlns="a767b45d-84e4-426c-9cea-afba99bc66be" xsi:nil="true"/>
    <MigrationWizIdPermissions xmlns="a767b45d-84e4-426c-9cea-afba99bc66b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370F6E763FC7478881BE27327D73BD" ma:contentTypeVersion="9" ma:contentTypeDescription="Create a new document." ma:contentTypeScope="" ma:versionID="e8c612d38ecf64fb58acd067005126b3">
  <xsd:schema xmlns:xsd="http://www.w3.org/2001/XMLSchema" xmlns:xs="http://www.w3.org/2001/XMLSchema" xmlns:p="http://schemas.microsoft.com/office/2006/metadata/properties" xmlns:ns3="a767b45d-84e4-426c-9cea-afba99bc66be" targetNamespace="http://schemas.microsoft.com/office/2006/metadata/properties" ma:root="true" ma:fieldsID="6973ae72f4b277197192f47061204193" ns3:_="">
    <xsd:import namespace="a767b45d-84e4-426c-9cea-afba99bc66be"/>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7b45d-84e4-426c-9cea-afba99bc66be"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05148-B067-4F99-9FC0-477DDC9DC319}">
  <ds:schemaRefs>
    <ds:schemaRef ds:uri="http://schemas.microsoft.com/office/2006/metadata/properties"/>
    <ds:schemaRef ds:uri="http://schemas.microsoft.com/office/infopath/2007/PartnerControls"/>
    <ds:schemaRef ds:uri="a767b45d-84e4-426c-9cea-afba99bc66be"/>
  </ds:schemaRefs>
</ds:datastoreItem>
</file>

<file path=customXml/itemProps2.xml><?xml version="1.0" encoding="utf-8"?>
<ds:datastoreItem xmlns:ds="http://schemas.openxmlformats.org/officeDocument/2006/customXml" ds:itemID="{A01DAF03-74E6-4316-B590-E6E7FE0A28FF}">
  <ds:schemaRefs>
    <ds:schemaRef ds:uri="http://schemas.microsoft.com/sharepoint/v3/contenttype/forms"/>
  </ds:schemaRefs>
</ds:datastoreItem>
</file>

<file path=customXml/itemProps3.xml><?xml version="1.0" encoding="utf-8"?>
<ds:datastoreItem xmlns:ds="http://schemas.openxmlformats.org/officeDocument/2006/customXml" ds:itemID="{D3A7B5EE-BEA5-41E2-9CA9-EE63C58CE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7b45d-84e4-426c-9cea-afba99bc66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8A7FFE-9B1E-4ECC-A50A-67D4CB01B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6559</Words>
  <Characters>36733</Characters>
  <Application>Microsoft Office Word</Application>
  <DocSecurity>0</DocSecurity>
  <PresentationFormat/>
  <Lines>655</Lines>
  <Paragraphs>759</Paragraphs>
  <ScaleCrop>false</ScaleCrop>
  <HeadingPairs>
    <vt:vector size="2" baseType="variant">
      <vt:variant>
        <vt:lpstr>Title</vt:lpstr>
      </vt:variant>
      <vt:variant>
        <vt:i4>1</vt:i4>
      </vt:variant>
    </vt:vector>
  </HeadingPairs>
  <TitlesOfParts>
    <vt:vector size="1" baseType="lpstr">
      <vt:lpstr>GCDAMP 2019-20 Knowledge Assessment Guidance 2019-10-15.docx</vt:lpstr>
    </vt:vector>
  </TitlesOfParts>
  <Company/>
  <LinksUpToDate>false</LinksUpToDate>
  <CharactersWithSpaces>42533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GCDAMP 2019-20 Knowledge Assessment Guidance 2019-10-15.docx</dc:title>
  <dc:creator>David P Braun</dc:creator>
  <cp:lastModifiedBy>Seth Shanahan</cp:lastModifiedBy>
  <cp:revision>3</cp:revision>
  <dcterms:created xsi:type="dcterms:W3CDTF">2019-11-13T20:00:00Z</dcterms:created>
  <dcterms:modified xsi:type="dcterms:W3CDTF">2019-11-13T20:00:00Z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0x0101006D370F6E763FC7478881BE27327D73BD</vt:lpwstr>
  </property>
</Properties>
</file>