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F2" w:rsidRPr="000031A2" w:rsidRDefault="000031A2" w:rsidP="000031A2">
      <w:pPr>
        <w:pStyle w:val="Title"/>
        <w:rPr>
          <w:sz w:val="40"/>
        </w:rPr>
      </w:pPr>
      <w:bookmarkStart w:id="0" w:name="_GoBack"/>
      <w:bookmarkEnd w:id="0"/>
      <w:r w:rsidRPr="000031A2">
        <w:rPr>
          <w:sz w:val="40"/>
        </w:rPr>
        <w:t xml:space="preserve">GCDAMP </w:t>
      </w:r>
      <w:r w:rsidR="002B6556">
        <w:rPr>
          <w:sz w:val="40"/>
        </w:rPr>
        <w:t xml:space="preserve">2016-17 </w:t>
      </w:r>
      <w:r w:rsidRPr="000031A2">
        <w:rPr>
          <w:sz w:val="40"/>
        </w:rPr>
        <w:t>‘Knowledge</w:t>
      </w:r>
      <w:r w:rsidR="00A26273">
        <w:rPr>
          <w:sz w:val="40"/>
        </w:rPr>
        <w:t xml:space="preserve"> Assessment</w:t>
      </w:r>
      <w:r w:rsidRPr="000031A2">
        <w:rPr>
          <w:sz w:val="40"/>
        </w:rPr>
        <w:t>’ Guidance</w:t>
      </w:r>
    </w:p>
    <w:p w:rsidR="000031A2" w:rsidRPr="000031A2" w:rsidRDefault="002B6556" w:rsidP="000031A2">
      <w:pPr>
        <w:jc w:val="right"/>
        <w:rPr>
          <w:i/>
        </w:rPr>
      </w:pPr>
      <w:r>
        <w:rPr>
          <w:i/>
        </w:rPr>
        <w:t>Glen Canyon Dam Adaptive Management Program</w:t>
      </w:r>
      <w:r>
        <w:rPr>
          <w:i/>
        </w:rPr>
        <w:br/>
      </w:r>
      <w:r w:rsidR="004D7FF5">
        <w:rPr>
          <w:i/>
        </w:rPr>
        <w:t>Technical Work Group Steering Committee</w:t>
      </w:r>
      <w:r w:rsidR="00C6332D">
        <w:rPr>
          <w:i/>
        </w:rPr>
        <w:t xml:space="preserve"> Ad Hoc Group</w:t>
      </w:r>
      <w:r w:rsidR="004D7FF5">
        <w:rPr>
          <w:i/>
        </w:rPr>
        <w:br/>
      </w:r>
      <w:r w:rsidR="00C6332D">
        <w:rPr>
          <w:i/>
        </w:rPr>
        <w:t xml:space="preserve">and the </w:t>
      </w:r>
      <w:r>
        <w:rPr>
          <w:i/>
        </w:rPr>
        <w:t>Executive Coordinator for Science Advisors</w:t>
      </w:r>
      <w:r>
        <w:rPr>
          <w:i/>
        </w:rPr>
        <w:br/>
      </w:r>
      <w:r w:rsidR="00957352">
        <w:rPr>
          <w:i/>
        </w:rPr>
        <w:t xml:space="preserve">November </w:t>
      </w:r>
      <w:r w:rsidR="008A07B6">
        <w:rPr>
          <w:i/>
        </w:rPr>
        <w:t>10</w:t>
      </w:r>
      <w:r w:rsidR="000031A2" w:rsidRPr="000031A2">
        <w:rPr>
          <w:i/>
        </w:rPr>
        <w:t>, 2016</w:t>
      </w:r>
    </w:p>
    <w:p w:rsidR="003851AF" w:rsidRDefault="003851AF" w:rsidP="003851AF">
      <w:pPr>
        <w:pStyle w:val="Heading1"/>
      </w:pPr>
      <w:r>
        <w:t>Introduction to the Knowledge Assessment</w:t>
      </w:r>
    </w:p>
    <w:p w:rsidR="00957352" w:rsidRDefault="00957352" w:rsidP="00957352">
      <w:r>
        <w:t>This document presents the rationale and methods for a Knowledge Assessment (KA) for the Glen Canyon Dam Adaptive Management Program (GCDAMP)</w:t>
      </w:r>
      <w:r w:rsidR="00E76872">
        <w:t xml:space="preserve"> Technical Work Group</w:t>
      </w:r>
      <w:r>
        <w:t xml:space="preserve">. The </w:t>
      </w:r>
      <w:r w:rsidRPr="00947B02">
        <w:t xml:space="preserve">GCDAMP advises the </w:t>
      </w:r>
      <w:r>
        <w:t xml:space="preserve">Secretary of the Interior </w:t>
      </w:r>
      <w:r w:rsidR="00F5007F">
        <w:t xml:space="preserve">(Secretary) </w:t>
      </w:r>
      <w:r w:rsidRPr="00947B02">
        <w:t>on</w:t>
      </w:r>
      <w:r>
        <w:t>:</w:t>
      </w:r>
    </w:p>
    <w:p w:rsidR="00231C5C" w:rsidRDefault="00231C5C" w:rsidP="00957352">
      <w:pPr>
        <w:pStyle w:val="ListParagraph"/>
        <w:numPr>
          <w:ilvl w:val="0"/>
          <w:numId w:val="6"/>
        </w:numPr>
        <w:spacing w:after="0"/>
        <w:contextualSpacing w:val="0"/>
      </w:pPr>
      <w:r>
        <w:t>Meeting environmental and cultural commitments.</w:t>
      </w:r>
    </w:p>
    <w:p w:rsidR="00E76872" w:rsidRDefault="00E76872" w:rsidP="00957352">
      <w:pPr>
        <w:pStyle w:val="ListParagraph"/>
        <w:numPr>
          <w:ilvl w:val="0"/>
          <w:numId w:val="6"/>
        </w:numPr>
        <w:spacing w:after="0"/>
        <w:contextualSpacing w:val="0"/>
      </w:pPr>
      <w:r>
        <w:t>Long-term monitoring and t</w:t>
      </w:r>
      <w:r w:rsidR="00957352" w:rsidRPr="00DF6378">
        <w:t>he status of resource</w:t>
      </w:r>
      <w:r>
        <w:t>s.</w:t>
      </w:r>
    </w:p>
    <w:p w:rsidR="00957352" w:rsidRPr="00DF6378" w:rsidRDefault="00C905A6" w:rsidP="00957352">
      <w:pPr>
        <w:pStyle w:val="ListParagraph"/>
        <w:numPr>
          <w:ilvl w:val="0"/>
          <w:numId w:val="6"/>
        </w:numPr>
        <w:spacing w:after="0"/>
        <w:contextualSpacing w:val="0"/>
      </w:pPr>
      <w:r>
        <w:t>Studies undertaken to</w:t>
      </w:r>
      <w:r w:rsidR="00E76872">
        <w:t xml:space="preserve"> </w:t>
      </w:r>
      <w:r>
        <w:t>increase knowledge of</w:t>
      </w:r>
      <w:r w:rsidR="00E76872">
        <w:t xml:space="preserve"> the </w:t>
      </w:r>
      <w:r>
        <w:t xml:space="preserve">effects of </w:t>
      </w:r>
      <w:r w:rsidR="002235BC">
        <w:t xml:space="preserve">routine and experimental </w:t>
      </w:r>
      <w:r>
        <w:t>dam operations</w:t>
      </w:r>
      <w:r w:rsidR="00B630F1">
        <w:t xml:space="preserve">, </w:t>
      </w:r>
      <w:r>
        <w:t xml:space="preserve">other management actions, and </w:t>
      </w:r>
      <w:r w:rsidR="00B630F1">
        <w:t>environmental</w:t>
      </w:r>
      <w:r>
        <w:t xml:space="preserve"> factors on key resource values.</w:t>
      </w:r>
    </w:p>
    <w:p w:rsidR="00957352" w:rsidRDefault="00E76872" w:rsidP="00957352">
      <w:pPr>
        <w:pStyle w:val="ListParagraph"/>
        <w:numPr>
          <w:ilvl w:val="0"/>
          <w:numId w:val="6"/>
        </w:numPr>
        <w:contextualSpacing w:val="0"/>
      </w:pPr>
      <w:r>
        <w:t>Activities undertaken to comply with applicable laws</w:t>
      </w:r>
      <w:r w:rsidR="00B630F1">
        <w:t>.</w:t>
      </w:r>
    </w:p>
    <w:p w:rsidR="00957352" w:rsidRDefault="00957352" w:rsidP="00957352">
      <w:r>
        <w:t>The GCDAMP carries out a substantial program of monitoring and research, and manages large bodies of data and knowledge, in order to advise the Secretary on these topics. The ultimate purpose of this advice is to sustain a robust program of adaptive management.</w:t>
      </w:r>
    </w:p>
    <w:p w:rsidR="001257BF" w:rsidRDefault="00957352">
      <w:r>
        <w:t xml:space="preserve">The GCDAMP periodically undertakes a review of the knowledge on which it bases its advice to the Secretary. This knowledge and advice </w:t>
      </w:r>
      <w:r w:rsidR="00F5007F">
        <w:t xml:space="preserve">crucially help inform </w:t>
      </w:r>
      <w:r w:rsidR="001257BF">
        <w:t xml:space="preserve">the </w:t>
      </w:r>
      <w:r w:rsidR="00F5007F">
        <w:t xml:space="preserve">decisions </w:t>
      </w:r>
      <w:r w:rsidR="001257BF">
        <w:t xml:space="preserve">of </w:t>
      </w:r>
      <w:r w:rsidR="00F5007F">
        <w:t>the Secretary</w:t>
      </w:r>
      <w:r w:rsidR="001257BF">
        <w:t xml:space="preserve"> concerning adaptive management of dam operations and their impacts</w:t>
      </w:r>
      <w:r>
        <w:t xml:space="preserve">. The review </w:t>
      </w:r>
      <w:r w:rsidR="00541DAA">
        <w:t xml:space="preserve">– here termed a ‘knowledge assessment’ – </w:t>
      </w:r>
      <w:r>
        <w:t>assesses the knowledge, and the reliability or certainty of the knowledge</w:t>
      </w:r>
      <w:r w:rsidR="001257BF">
        <w:t>,</w:t>
      </w:r>
      <w:r>
        <w:t xml:space="preserve"> for three broad objectives</w:t>
      </w:r>
      <w:r w:rsidR="00541DAA">
        <w:t>, to</w:t>
      </w:r>
      <w:r>
        <w:t>: (1) summarize what is known; (2) assess ongoing needs for monitoring to sustain crucial knowledge; and (3) identify crucial gaps and weaknesses in this k</w:t>
      </w:r>
      <w:r w:rsidR="002235BC">
        <w:t>nowledge that require attention. The results will inform work planning and budgeting.</w:t>
      </w:r>
    </w:p>
    <w:p w:rsidR="002235BC" w:rsidRDefault="002235BC" w:rsidP="002235BC">
      <w:pPr>
        <w:pStyle w:val="Heading1"/>
      </w:pPr>
      <w:r>
        <w:t>Knowledge Assessment Structure</w:t>
      </w:r>
    </w:p>
    <w:p w:rsidR="00A6075F" w:rsidRDefault="00947E78">
      <w:r>
        <w:t>Th</w:t>
      </w:r>
      <w:r w:rsidR="00E02D58">
        <w:t xml:space="preserve">e </w:t>
      </w:r>
      <w:r w:rsidR="001257BF">
        <w:t>present Knowledge</w:t>
      </w:r>
      <w:r>
        <w:t xml:space="preserve"> </w:t>
      </w:r>
      <w:r w:rsidR="001257BF">
        <w:t>A</w:t>
      </w:r>
      <w:r w:rsidR="00231C5C">
        <w:t xml:space="preserve">ssessment </w:t>
      </w:r>
      <w:r w:rsidR="009E0293">
        <w:t xml:space="preserve">seeks </w:t>
      </w:r>
      <w:r w:rsidR="00635181">
        <w:t xml:space="preserve">to </w:t>
      </w:r>
      <w:r w:rsidR="009E0293">
        <w:t xml:space="preserve">present its findings in the form of </w:t>
      </w:r>
      <w:r>
        <w:t xml:space="preserve">a </w:t>
      </w:r>
      <w:r w:rsidR="00635181">
        <w:t>set</w:t>
      </w:r>
      <w:r>
        <w:t xml:space="preserve"> of </w:t>
      </w:r>
      <w:r w:rsidR="00E02D58">
        <w:t xml:space="preserve">simple </w:t>
      </w:r>
      <w:r>
        <w:t>tables</w:t>
      </w:r>
      <w:r w:rsidR="009E0293">
        <w:t xml:space="preserve"> that facilitate both the compilation and communication of findings. </w:t>
      </w:r>
      <w:r w:rsidR="00071A33">
        <w:t>A set of</w:t>
      </w:r>
      <w:r w:rsidR="00E02D58">
        <w:t xml:space="preserve"> easily understood</w:t>
      </w:r>
      <w:r w:rsidR="00071A33">
        <w:t>, graphical</w:t>
      </w:r>
      <w:r w:rsidR="00E02D58">
        <w:t xml:space="preserve"> symbols </w:t>
      </w:r>
      <w:r w:rsidR="00071A33">
        <w:t xml:space="preserve">will be used to summarize the findings to further simplify their communication. </w:t>
      </w:r>
      <w:r w:rsidR="00E02D58">
        <w:t>Th</w:t>
      </w:r>
      <w:r w:rsidR="00A6075F">
        <w:t>e</w:t>
      </w:r>
      <w:r w:rsidR="00E02D58">
        <w:t xml:space="preserve"> </w:t>
      </w:r>
      <w:r w:rsidR="00071A33">
        <w:t xml:space="preserve">approach presented below represents </w:t>
      </w:r>
      <w:r w:rsidR="00E02D58">
        <w:t>a trial</w:t>
      </w:r>
      <w:r w:rsidR="003A4C6E">
        <w:t xml:space="preserve"> approach, </w:t>
      </w:r>
      <w:r w:rsidR="00A6075F">
        <w:t xml:space="preserve">toward establishing </w:t>
      </w:r>
      <w:r w:rsidR="00E02D58">
        <w:t xml:space="preserve">a </w:t>
      </w:r>
      <w:r w:rsidR="003A4C6E">
        <w:t>standard</w:t>
      </w:r>
      <w:r w:rsidR="00E02D58">
        <w:t xml:space="preserve"> </w:t>
      </w:r>
      <w:r w:rsidR="00A6075F">
        <w:t xml:space="preserve">assessment </w:t>
      </w:r>
      <w:r w:rsidR="00E02D58">
        <w:t>proc</w:t>
      </w:r>
      <w:r w:rsidR="00A6075F">
        <w:t xml:space="preserve">ess </w:t>
      </w:r>
      <w:r w:rsidR="003A4C6E">
        <w:t>that can be repeated with minimal effort</w:t>
      </w:r>
      <w:r w:rsidR="00A6075F">
        <w:t>.</w:t>
      </w:r>
    </w:p>
    <w:p w:rsidR="00957352" w:rsidRDefault="00231C5C" w:rsidP="00957352">
      <w:r>
        <w:lastRenderedPageBreak/>
        <w:t xml:space="preserve">The </w:t>
      </w:r>
      <w:r w:rsidRPr="00952FD7">
        <w:t>Glen Canyon Dam Long-Term E</w:t>
      </w:r>
      <w:r>
        <w:t xml:space="preserve">xperimental and Management Plan, </w:t>
      </w:r>
      <w:r w:rsidRPr="00952FD7">
        <w:t>Final Environmental Impact Statement</w:t>
      </w:r>
      <w:r>
        <w:t xml:space="preserve"> (LTEMP </w:t>
      </w:r>
      <w:r w:rsidR="00B04420">
        <w:t>F</w:t>
      </w:r>
      <w:r>
        <w:t>EIS) (2016)</w:t>
      </w:r>
      <w:r w:rsidR="00957352">
        <w:t xml:space="preserve"> focuses on the following resource topic</w:t>
      </w:r>
      <w:r w:rsidR="00FE51D8">
        <w:t>s (shown in alphabetical order)</w:t>
      </w:r>
      <w:r w:rsidR="00957352">
        <w:t>:</w:t>
      </w:r>
    </w:p>
    <w:p w:rsidR="00BF6E5B" w:rsidRDefault="00BF6E5B" w:rsidP="00957352">
      <w:pPr>
        <w:pStyle w:val="ListParagraph"/>
        <w:numPr>
          <w:ilvl w:val="0"/>
          <w:numId w:val="8"/>
        </w:numPr>
        <w:spacing w:after="0"/>
        <w:contextualSpacing w:val="0"/>
        <w:sectPr w:rsidR="00BF6E5B" w:rsidSect="009221BB">
          <w:footerReference w:type="default" r:id="rId9"/>
          <w:type w:val="continuous"/>
          <w:pgSz w:w="15840" w:h="12240" w:orient="landscape"/>
          <w:pgMar w:top="1152" w:right="1152" w:bottom="1152" w:left="1152" w:header="720" w:footer="720" w:gutter="0"/>
          <w:cols w:space="720"/>
          <w:docGrid w:linePitch="360"/>
        </w:sectPr>
      </w:pPr>
    </w:p>
    <w:p w:rsidR="00957352" w:rsidRDefault="00957352" w:rsidP="00957352">
      <w:pPr>
        <w:pStyle w:val="ListParagraph"/>
        <w:numPr>
          <w:ilvl w:val="0"/>
          <w:numId w:val="8"/>
        </w:numPr>
        <w:spacing w:after="0"/>
        <w:contextualSpacing w:val="0"/>
      </w:pPr>
      <w:r>
        <w:lastRenderedPageBreak/>
        <w:t>Air quality</w:t>
      </w:r>
    </w:p>
    <w:p w:rsidR="00957352" w:rsidRPr="00952FD7" w:rsidRDefault="00957352" w:rsidP="00957352">
      <w:pPr>
        <w:pStyle w:val="ListParagraph"/>
        <w:numPr>
          <w:ilvl w:val="0"/>
          <w:numId w:val="8"/>
        </w:numPr>
        <w:spacing w:after="0"/>
        <w:contextualSpacing w:val="0"/>
      </w:pPr>
      <w:r w:rsidRPr="00952FD7">
        <w:t>Aquatic food base</w:t>
      </w:r>
    </w:p>
    <w:p w:rsidR="00957352" w:rsidRDefault="00957352" w:rsidP="00957352">
      <w:pPr>
        <w:pStyle w:val="ListParagraph"/>
        <w:numPr>
          <w:ilvl w:val="0"/>
          <w:numId w:val="8"/>
        </w:numPr>
        <w:spacing w:after="0"/>
        <w:contextualSpacing w:val="0"/>
      </w:pPr>
      <w:r w:rsidRPr="00952FD7">
        <w:rPr>
          <w:rFonts w:cs="Times New Roman"/>
          <w:szCs w:val="24"/>
        </w:rPr>
        <w:t>Archaeological and cultural resources</w:t>
      </w:r>
    </w:p>
    <w:p w:rsidR="00957352" w:rsidRPr="00952FD7" w:rsidRDefault="00957352" w:rsidP="00957352">
      <w:pPr>
        <w:pStyle w:val="ListParagraph"/>
        <w:numPr>
          <w:ilvl w:val="0"/>
          <w:numId w:val="8"/>
        </w:numPr>
        <w:spacing w:after="0"/>
        <w:contextualSpacing w:val="0"/>
        <w:rPr>
          <w:rFonts w:cs="Times New Roman"/>
          <w:szCs w:val="24"/>
        </w:rPr>
      </w:pPr>
      <w:r>
        <w:t>Climate change</w:t>
      </w:r>
    </w:p>
    <w:p w:rsidR="00957352" w:rsidRPr="00952FD7" w:rsidRDefault="00957352" w:rsidP="00957352">
      <w:pPr>
        <w:pStyle w:val="ListParagraph"/>
        <w:numPr>
          <w:ilvl w:val="0"/>
          <w:numId w:val="8"/>
        </w:numPr>
        <w:spacing w:after="0"/>
        <w:contextualSpacing w:val="0"/>
      </w:pPr>
      <w:r>
        <w:t>Humpback chub</w:t>
      </w:r>
    </w:p>
    <w:p w:rsidR="00957352" w:rsidRDefault="00957352" w:rsidP="00957352">
      <w:pPr>
        <w:pStyle w:val="ListParagraph"/>
        <w:numPr>
          <w:ilvl w:val="0"/>
          <w:numId w:val="8"/>
        </w:numPr>
        <w:spacing w:after="0"/>
        <w:contextualSpacing w:val="0"/>
      </w:pPr>
      <w:r w:rsidRPr="00952FD7">
        <w:rPr>
          <w:rFonts w:cs="Times New Roman"/>
          <w:szCs w:val="24"/>
        </w:rPr>
        <w:lastRenderedPageBreak/>
        <w:t>Hydropower and energy</w:t>
      </w:r>
    </w:p>
    <w:p w:rsidR="00957352" w:rsidRPr="00952FD7" w:rsidRDefault="00957352" w:rsidP="00957352">
      <w:pPr>
        <w:pStyle w:val="ListParagraph"/>
        <w:numPr>
          <w:ilvl w:val="0"/>
          <w:numId w:val="8"/>
        </w:numPr>
        <w:spacing w:after="0"/>
        <w:contextualSpacing w:val="0"/>
      </w:pPr>
      <w:r>
        <w:t>Invasive fish species</w:t>
      </w:r>
    </w:p>
    <w:p w:rsidR="00957352" w:rsidRPr="00952FD7" w:rsidRDefault="00957352" w:rsidP="00957352">
      <w:pPr>
        <w:pStyle w:val="ListParagraph"/>
        <w:numPr>
          <w:ilvl w:val="0"/>
          <w:numId w:val="8"/>
        </w:numPr>
        <w:spacing w:after="0"/>
        <w:contextualSpacing w:val="0"/>
      </w:pPr>
      <w:r>
        <w:t>Other native fish species</w:t>
      </w:r>
    </w:p>
    <w:p w:rsidR="00957352" w:rsidRPr="00952FD7" w:rsidRDefault="00957352" w:rsidP="00957352">
      <w:pPr>
        <w:pStyle w:val="ListParagraph"/>
        <w:numPr>
          <w:ilvl w:val="0"/>
          <w:numId w:val="8"/>
        </w:numPr>
        <w:spacing w:after="0"/>
        <w:contextualSpacing w:val="0"/>
      </w:pPr>
      <w:r>
        <w:t>Rainbow trout fishery</w:t>
      </w:r>
    </w:p>
    <w:p w:rsidR="00957352" w:rsidRPr="00952FD7" w:rsidRDefault="00957352" w:rsidP="00957352">
      <w:pPr>
        <w:pStyle w:val="ListParagraph"/>
        <w:numPr>
          <w:ilvl w:val="0"/>
          <w:numId w:val="8"/>
        </w:numPr>
        <w:spacing w:after="0"/>
        <w:contextualSpacing w:val="0"/>
      </w:pPr>
      <w:r>
        <w:t>Recreational experience</w:t>
      </w:r>
    </w:p>
    <w:p w:rsidR="00957352" w:rsidRPr="00952FD7" w:rsidRDefault="00957352" w:rsidP="00957352">
      <w:pPr>
        <w:pStyle w:val="ListParagraph"/>
        <w:numPr>
          <w:ilvl w:val="0"/>
          <w:numId w:val="8"/>
        </w:numPr>
        <w:spacing w:after="0"/>
        <w:contextualSpacing w:val="0"/>
      </w:pPr>
      <w:r w:rsidRPr="00952FD7">
        <w:t>Riparian</w:t>
      </w:r>
      <w:r>
        <w:t xml:space="preserve"> vegetation</w:t>
      </w:r>
    </w:p>
    <w:p w:rsidR="00957352" w:rsidRPr="00952FD7" w:rsidRDefault="00957352" w:rsidP="00957352">
      <w:pPr>
        <w:pStyle w:val="ListParagraph"/>
        <w:numPr>
          <w:ilvl w:val="0"/>
          <w:numId w:val="8"/>
        </w:numPr>
        <w:spacing w:after="0"/>
        <w:contextualSpacing w:val="0"/>
      </w:pPr>
      <w:r>
        <w:lastRenderedPageBreak/>
        <w:t>Sediment</w:t>
      </w:r>
    </w:p>
    <w:p w:rsidR="00957352" w:rsidRDefault="00957352" w:rsidP="00957352">
      <w:pPr>
        <w:pStyle w:val="ListParagraph"/>
        <w:numPr>
          <w:ilvl w:val="0"/>
          <w:numId w:val="8"/>
        </w:numPr>
        <w:spacing w:after="0"/>
        <w:contextualSpacing w:val="0"/>
      </w:pPr>
      <w:r w:rsidRPr="00952FD7">
        <w:rPr>
          <w:rFonts w:cs="Times New Roman"/>
          <w:szCs w:val="24"/>
        </w:rPr>
        <w:t>Tribal resources</w:t>
      </w:r>
    </w:p>
    <w:p w:rsidR="00957352" w:rsidRDefault="00957352" w:rsidP="00957352">
      <w:pPr>
        <w:pStyle w:val="ListParagraph"/>
        <w:numPr>
          <w:ilvl w:val="0"/>
          <w:numId w:val="8"/>
        </w:numPr>
        <w:spacing w:after="0"/>
        <w:contextualSpacing w:val="0"/>
      </w:pPr>
      <w:r>
        <w:t>Water delivery</w:t>
      </w:r>
    </w:p>
    <w:p w:rsidR="00957352" w:rsidRDefault="00957352" w:rsidP="00957352">
      <w:pPr>
        <w:pStyle w:val="ListParagraph"/>
        <w:numPr>
          <w:ilvl w:val="0"/>
          <w:numId w:val="8"/>
        </w:numPr>
        <w:spacing w:after="0"/>
        <w:contextualSpacing w:val="0"/>
      </w:pPr>
      <w:r>
        <w:t>W</w:t>
      </w:r>
      <w:r w:rsidRPr="00952FD7">
        <w:rPr>
          <w:rFonts w:cs="Times New Roman"/>
          <w:szCs w:val="24"/>
        </w:rPr>
        <w:t>ater quality</w:t>
      </w:r>
    </w:p>
    <w:p w:rsidR="00957352" w:rsidRDefault="00957352" w:rsidP="00957352">
      <w:pPr>
        <w:pStyle w:val="ListParagraph"/>
        <w:numPr>
          <w:ilvl w:val="0"/>
          <w:numId w:val="8"/>
        </w:numPr>
        <w:contextualSpacing w:val="0"/>
      </w:pPr>
      <w:r>
        <w:t>Wildlife</w:t>
      </w:r>
    </w:p>
    <w:p w:rsidR="00BF6E5B" w:rsidRDefault="00BF6E5B" w:rsidP="00957352">
      <w:pPr>
        <w:sectPr w:rsidR="00BF6E5B" w:rsidSect="009221BB">
          <w:type w:val="continuous"/>
          <w:pgSz w:w="15840" w:h="12240" w:orient="landscape"/>
          <w:pgMar w:top="1152" w:right="1152" w:bottom="1152" w:left="1152" w:header="720" w:footer="720" w:gutter="0"/>
          <w:cols w:num="3" w:space="720"/>
          <w:docGrid w:linePitch="360"/>
        </w:sectPr>
      </w:pPr>
    </w:p>
    <w:p w:rsidR="00635181" w:rsidRDefault="00635181" w:rsidP="008632F8">
      <w:pPr>
        <w:spacing w:after="0"/>
      </w:pPr>
    </w:p>
    <w:p w:rsidR="00957352" w:rsidRDefault="00957352" w:rsidP="00957352">
      <w:r>
        <w:t>The present Knowledge Assessment will focus on a subset of the topics</w:t>
      </w:r>
      <w:r w:rsidR="00D56F88">
        <w:t xml:space="preserve"> in this master list</w:t>
      </w:r>
      <w:r>
        <w:t xml:space="preserve">, </w:t>
      </w:r>
      <w:r w:rsidR="00FE51D8">
        <w:t>consisting of</w:t>
      </w:r>
      <w:r w:rsidR="00231C5C">
        <w:t xml:space="preserve"> the following </w:t>
      </w:r>
      <w:r>
        <w:t xml:space="preserve">eleven </w:t>
      </w:r>
      <w:r w:rsidR="00D56F88">
        <w:t xml:space="preserve">priority resource </w:t>
      </w:r>
      <w:r>
        <w:t>topics (</w:t>
      </w:r>
      <w:r w:rsidR="00D56F88">
        <w:t>shown</w:t>
      </w:r>
      <w:r w:rsidR="00FE51D8">
        <w:t xml:space="preserve"> </w:t>
      </w:r>
      <w:r>
        <w:t>in alphabetical order):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DF7C5D" w:rsidTr="008632F8">
        <w:trPr>
          <w:jc w:val="center"/>
        </w:trPr>
        <w:tc>
          <w:tcPr>
            <w:tcW w:w="4320" w:type="dxa"/>
          </w:tcPr>
          <w:p w:rsidR="00DF7C5D" w:rsidRPr="008632F8" w:rsidRDefault="00DF7C5D" w:rsidP="008632F8">
            <w:pPr>
              <w:pStyle w:val="ListParagraph"/>
              <w:numPr>
                <w:ilvl w:val="0"/>
                <w:numId w:val="13"/>
              </w:numPr>
              <w:ind w:left="324" w:hanging="324"/>
            </w:pPr>
            <w:bookmarkStart w:id="1" w:name="OLE_LINK10"/>
            <w:r w:rsidRPr="008632F8">
              <w:t>Aquatic food base</w:t>
            </w:r>
          </w:p>
        </w:tc>
        <w:tc>
          <w:tcPr>
            <w:tcW w:w="4320" w:type="dxa"/>
          </w:tcPr>
          <w:p w:rsidR="00DF7C5D" w:rsidRPr="008632F8" w:rsidRDefault="00463E33" w:rsidP="008632F8">
            <w:pPr>
              <w:pStyle w:val="ListParagraph"/>
              <w:numPr>
                <w:ilvl w:val="0"/>
                <w:numId w:val="13"/>
              </w:numPr>
              <w:ind w:left="324" w:hanging="324"/>
            </w:pPr>
            <w:r w:rsidRPr="008632F8">
              <w:t>Rainbow trout fishery</w:t>
            </w:r>
          </w:p>
        </w:tc>
      </w:tr>
      <w:tr w:rsidR="00463E33" w:rsidTr="008632F8">
        <w:trPr>
          <w:jc w:val="center"/>
        </w:trPr>
        <w:tc>
          <w:tcPr>
            <w:tcW w:w="4320" w:type="dxa"/>
          </w:tcPr>
          <w:p w:rsidR="00463E33" w:rsidRPr="008632F8" w:rsidRDefault="00463E33" w:rsidP="008632F8">
            <w:pPr>
              <w:pStyle w:val="ListParagraph"/>
              <w:numPr>
                <w:ilvl w:val="0"/>
                <w:numId w:val="13"/>
              </w:numPr>
              <w:ind w:left="324" w:hanging="324"/>
            </w:pPr>
            <w:r w:rsidRPr="008632F8">
              <w:rPr>
                <w:szCs w:val="24"/>
              </w:rPr>
              <w:t>Archaeological and cultural resources</w:t>
            </w:r>
          </w:p>
        </w:tc>
        <w:tc>
          <w:tcPr>
            <w:tcW w:w="4320" w:type="dxa"/>
          </w:tcPr>
          <w:p w:rsidR="00463E33" w:rsidRPr="008632F8" w:rsidRDefault="00463E33" w:rsidP="008632F8">
            <w:pPr>
              <w:pStyle w:val="ListParagraph"/>
              <w:numPr>
                <w:ilvl w:val="0"/>
                <w:numId w:val="13"/>
              </w:numPr>
              <w:ind w:left="324" w:hanging="324"/>
            </w:pPr>
            <w:r w:rsidRPr="008632F8">
              <w:t>Recreational experience</w:t>
            </w:r>
          </w:p>
        </w:tc>
      </w:tr>
      <w:tr w:rsidR="00463E33" w:rsidTr="008632F8">
        <w:trPr>
          <w:jc w:val="center"/>
        </w:trPr>
        <w:tc>
          <w:tcPr>
            <w:tcW w:w="4320" w:type="dxa"/>
          </w:tcPr>
          <w:p w:rsidR="00463E33" w:rsidRPr="008632F8" w:rsidRDefault="00463E33" w:rsidP="008632F8">
            <w:pPr>
              <w:pStyle w:val="ListParagraph"/>
              <w:numPr>
                <w:ilvl w:val="0"/>
                <w:numId w:val="13"/>
              </w:numPr>
              <w:ind w:left="324" w:hanging="324"/>
            </w:pPr>
            <w:r w:rsidRPr="008632F8">
              <w:t>Humpback chub</w:t>
            </w:r>
          </w:p>
        </w:tc>
        <w:tc>
          <w:tcPr>
            <w:tcW w:w="4320" w:type="dxa"/>
          </w:tcPr>
          <w:p w:rsidR="00463E33" w:rsidRPr="008632F8" w:rsidRDefault="00463E33" w:rsidP="008632F8">
            <w:pPr>
              <w:pStyle w:val="ListParagraph"/>
              <w:numPr>
                <w:ilvl w:val="0"/>
                <w:numId w:val="13"/>
              </w:numPr>
              <w:ind w:left="324" w:hanging="324"/>
            </w:pPr>
            <w:r w:rsidRPr="008632F8">
              <w:t>Riparian vegetation</w:t>
            </w:r>
          </w:p>
        </w:tc>
      </w:tr>
      <w:tr w:rsidR="00463E33" w:rsidTr="008632F8">
        <w:trPr>
          <w:jc w:val="center"/>
        </w:trPr>
        <w:tc>
          <w:tcPr>
            <w:tcW w:w="4320" w:type="dxa"/>
          </w:tcPr>
          <w:p w:rsidR="00463E33" w:rsidRPr="008632F8" w:rsidRDefault="00463E33" w:rsidP="008632F8">
            <w:pPr>
              <w:pStyle w:val="ListParagraph"/>
              <w:numPr>
                <w:ilvl w:val="0"/>
                <w:numId w:val="13"/>
              </w:numPr>
              <w:ind w:left="324" w:hanging="324"/>
            </w:pPr>
            <w:r w:rsidRPr="008632F8">
              <w:rPr>
                <w:szCs w:val="24"/>
              </w:rPr>
              <w:t>Hydropower and energy</w:t>
            </w:r>
          </w:p>
        </w:tc>
        <w:tc>
          <w:tcPr>
            <w:tcW w:w="4320" w:type="dxa"/>
          </w:tcPr>
          <w:p w:rsidR="00463E33" w:rsidRPr="008632F8" w:rsidRDefault="00463E33" w:rsidP="008632F8">
            <w:pPr>
              <w:pStyle w:val="ListParagraph"/>
              <w:numPr>
                <w:ilvl w:val="0"/>
                <w:numId w:val="13"/>
              </w:numPr>
              <w:ind w:left="324" w:hanging="324"/>
            </w:pPr>
            <w:r w:rsidRPr="008632F8">
              <w:t>Sediment</w:t>
            </w:r>
          </w:p>
        </w:tc>
      </w:tr>
      <w:tr w:rsidR="00463E33" w:rsidTr="008632F8">
        <w:trPr>
          <w:jc w:val="center"/>
        </w:trPr>
        <w:tc>
          <w:tcPr>
            <w:tcW w:w="4320" w:type="dxa"/>
          </w:tcPr>
          <w:p w:rsidR="00463E33" w:rsidRPr="008632F8" w:rsidRDefault="00463E33" w:rsidP="008632F8">
            <w:pPr>
              <w:pStyle w:val="ListParagraph"/>
              <w:numPr>
                <w:ilvl w:val="0"/>
                <w:numId w:val="13"/>
              </w:numPr>
              <w:ind w:left="324" w:hanging="324"/>
            </w:pPr>
            <w:r w:rsidRPr="008632F8">
              <w:t>Invasive fish species</w:t>
            </w:r>
          </w:p>
        </w:tc>
        <w:tc>
          <w:tcPr>
            <w:tcW w:w="4320" w:type="dxa"/>
          </w:tcPr>
          <w:p w:rsidR="00463E33" w:rsidRPr="008632F8" w:rsidRDefault="00463E33" w:rsidP="008632F8">
            <w:pPr>
              <w:pStyle w:val="ListParagraph"/>
              <w:numPr>
                <w:ilvl w:val="0"/>
                <w:numId w:val="13"/>
              </w:numPr>
              <w:ind w:left="324" w:hanging="324"/>
            </w:pPr>
            <w:r w:rsidRPr="008632F8">
              <w:t>W</w:t>
            </w:r>
            <w:r w:rsidRPr="008632F8">
              <w:rPr>
                <w:szCs w:val="24"/>
              </w:rPr>
              <w:t>ater quality</w:t>
            </w:r>
          </w:p>
        </w:tc>
      </w:tr>
      <w:tr w:rsidR="00DF7C5D" w:rsidTr="008632F8">
        <w:trPr>
          <w:jc w:val="center"/>
        </w:trPr>
        <w:tc>
          <w:tcPr>
            <w:tcW w:w="4320" w:type="dxa"/>
          </w:tcPr>
          <w:p w:rsidR="00DF7C5D" w:rsidRPr="008632F8" w:rsidRDefault="00DF7C5D" w:rsidP="008632F8">
            <w:pPr>
              <w:pStyle w:val="ListParagraph"/>
              <w:numPr>
                <w:ilvl w:val="0"/>
                <w:numId w:val="13"/>
              </w:numPr>
              <w:ind w:left="324" w:hanging="324"/>
            </w:pPr>
            <w:r w:rsidRPr="008632F8">
              <w:t>Other native fish species</w:t>
            </w:r>
          </w:p>
        </w:tc>
        <w:tc>
          <w:tcPr>
            <w:tcW w:w="4320" w:type="dxa"/>
          </w:tcPr>
          <w:p w:rsidR="00DF7C5D" w:rsidRPr="008632F8" w:rsidRDefault="00DF7C5D" w:rsidP="008632F8"/>
        </w:tc>
      </w:tr>
      <w:bookmarkEnd w:id="1"/>
    </w:tbl>
    <w:p w:rsidR="00DF7C5D" w:rsidRDefault="00DF7C5D" w:rsidP="00743BE5">
      <w:pPr>
        <w:spacing w:after="0"/>
      </w:pPr>
    </w:p>
    <w:p w:rsidR="00D630BA" w:rsidRDefault="00A225C1">
      <w:r>
        <w:t xml:space="preserve">The present Knowledge Assessment recognizes that the topic on the master list, “Tribal resources,” in fact refers not to a separate set of resources, but rather to the same resources of interest to the GCDAMP as a whole, considered from the standpoint of traditional values among the several Native American tribal constituents of the GCDAMP. </w:t>
      </w:r>
      <w:r w:rsidR="00D630BA">
        <w:t xml:space="preserve">The </w:t>
      </w:r>
      <w:r w:rsidR="000377FA">
        <w:t xml:space="preserve">present </w:t>
      </w:r>
      <w:r w:rsidR="00A26273">
        <w:t xml:space="preserve">Knowledge Assessment </w:t>
      </w:r>
      <w:r w:rsidR="00D630BA">
        <w:t xml:space="preserve">therefore will look at the state of knowledge </w:t>
      </w:r>
      <w:r w:rsidR="00D56F88">
        <w:t>not only</w:t>
      </w:r>
      <w:r w:rsidR="000377FA">
        <w:t xml:space="preserve"> from a scientific perspective </w:t>
      </w:r>
      <w:r w:rsidR="00D56F88">
        <w:t>but also</w:t>
      </w:r>
      <w:r w:rsidR="000377FA">
        <w:t xml:space="preserve"> from the traditional </w:t>
      </w:r>
      <w:r w:rsidR="00D56F88">
        <w:t xml:space="preserve">perspectives of </w:t>
      </w:r>
      <w:r w:rsidR="000377FA">
        <w:t>the several Native American tribal constituents of the GCDAMP</w:t>
      </w:r>
      <w:r w:rsidR="00D630BA">
        <w:t>.</w:t>
      </w:r>
    </w:p>
    <w:p w:rsidR="000031A2" w:rsidRDefault="00D630BA">
      <w:r>
        <w:t xml:space="preserve">Specifically, the present Knowledge Assessment seeks to answer three sets of questions for each of the eleven </w:t>
      </w:r>
      <w:r w:rsidR="0088341B">
        <w:t xml:space="preserve">selected </w:t>
      </w:r>
      <w:r>
        <w:t xml:space="preserve">resource topics, from both the scientific and </w:t>
      </w:r>
      <w:r w:rsidR="00D56F88">
        <w:t>tribal traditional perspectives</w:t>
      </w:r>
      <w:r w:rsidR="006A09B2">
        <w:t>:</w:t>
      </w:r>
    </w:p>
    <w:p w:rsidR="006A09B2" w:rsidRPr="003F4D14" w:rsidRDefault="004E6383" w:rsidP="009665D6">
      <w:pPr>
        <w:pStyle w:val="ListParagraph"/>
        <w:numPr>
          <w:ilvl w:val="0"/>
          <w:numId w:val="1"/>
        </w:numPr>
        <w:rPr>
          <w:b/>
        </w:rPr>
      </w:pPr>
      <w:r w:rsidRPr="003F4D14">
        <w:rPr>
          <w:b/>
        </w:rPr>
        <w:t>S</w:t>
      </w:r>
      <w:r w:rsidR="009665D6" w:rsidRPr="003F4D14">
        <w:rPr>
          <w:b/>
        </w:rPr>
        <w:t xml:space="preserve">tatus and </w:t>
      </w:r>
      <w:r w:rsidR="00316FF9" w:rsidRPr="003F4D14">
        <w:rPr>
          <w:b/>
        </w:rPr>
        <w:t>T</w:t>
      </w:r>
      <w:r w:rsidR="009665D6" w:rsidRPr="003F4D14">
        <w:rPr>
          <w:b/>
        </w:rPr>
        <w:t>rend</w:t>
      </w:r>
    </w:p>
    <w:p w:rsidR="001C1C8A" w:rsidRDefault="006A09B2" w:rsidP="006A09B2">
      <w:pPr>
        <w:pStyle w:val="ListParagraph"/>
        <w:numPr>
          <w:ilvl w:val="1"/>
          <w:numId w:val="1"/>
        </w:numPr>
      </w:pPr>
      <w:r>
        <w:t xml:space="preserve">What is </w:t>
      </w:r>
      <w:r w:rsidR="00316FF9">
        <w:t>our</w:t>
      </w:r>
      <w:r>
        <w:t xml:space="preserve"> present </w:t>
      </w:r>
      <w:r w:rsidR="002D37B8">
        <w:t>understanding (hypotheses) concerning</w:t>
      </w:r>
      <w:r w:rsidR="000759E5">
        <w:t xml:space="preserve"> the </w:t>
      </w:r>
      <w:r>
        <w:t>status of the condition(s) addressed by the topic</w:t>
      </w:r>
      <w:r w:rsidR="001C1C8A">
        <w:t>?</w:t>
      </w:r>
    </w:p>
    <w:p w:rsidR="006A09B2" w:rsidRDefault="001C1C8A" w:rsidP="006A09B2">
      <w:pPr>
        <w:pStyle w:val="ListParagraph"/>
        <w:numPr>
          <w:ilvl w:val="1"/>
          <w:numId w:val="1"/>
        </w:numPr>
      </w:pPr>
      <w:r>
        <w:t xml:space="preserve">What is </w:t>
      </w:r>
      <w:r w:rsidR="00316FF9">
        <w:t>our</w:t>
      </w:r>
      <w:r>
        <w:t xml:space="preserve"> present </w:t>
      </w:r>
      <w:r w:rsidR="002D37B8">
        <w:t>understanding (hypotheses) concerning</w:t>
      </w:r>
      <w:r>
        <w:t xml:space="preserve"> </w:t>
      </w:r>
      <w:r w:rsidR="0088341B">
        <w:t>the</w:t>
      </w:r>
      <w:r w:rsidR="00077305">
        <w:t xml:space="preserve"> direction of any </w:t>
      </w:r>
      <w:r w:rsidR="006A09B2">
        <w:t>trend</w:t>
      </w:r>
      <w:r w:rsidR="00773182">
        <w:t>(</w:t>
      </w:r>
      <w:r w:rsidR="00DD495A">
        <w:t>s</w:t>
      </w:r>
      <w:r w:rsidR="00773182">
        <w:t>)</w:t>
      </w:r>
      <w:r w:rsidR="00DD495A">
        <w:t xml:space="preserve"> </w:t>
      </w:r>
      <w:r>
        <w:t>in these conditions</w:t>
      </w:r>
      <w:r w:rsidR="006A09B2">
        <w:t>?</w:t>
      </w:r>
    </w:p>
    <w:p w:rsidR="000759E5" w:rsidRDefault="000759E5" w:rsidP="006A09B2">
      <w:pPr>
        <w:pStyle w:val="ListParagraph"/>
        <w:numPr>
          <w:ilvl w:val="1"/>
          <w:numId w:val="1"/>
        </w:numPr>
      </w:pPr>
      <w:r>
        <w:t xml:space="preserve">How certain or uncertain is this understanding </w:t>
      </w:r>
      <w:r w:rsidR="00773182">
        <w:t>(</w:t>
      </w:r>
      <w:r>
        <w:t>confidence</w:t>
      </w:r>
      <w:r w:rsidR="00773182">
        <w:t>)</w:t>
      </w:r>
      <w:r>
        <w:t>?</w:t>
      </w:r>
    </w:p>
    <w:p w:rsidR="000759E5" w:rsidRPr="003F4D14" w:rsidRDefault="000759E5" w:rsidP="009665D6">
      <w:pPr>
        <w:pStyle w:val="ListParagraph"/>
        <w:numPr>
          <w:ilvl w:val="0"/>
          <w:numId w:val="1"/>
        </w:numPr>
        <w:rPr>
          <w:b/>
        </w:rPr>
      </w:pPr>
      <w:r w:rsidRPr="003F4D14">
        <w:rPr>
          <w:b/>
        </w:rPr>
        <w:t>D</w:t>
      </w:r>
      <w:r w:rsidR="00DD495A" w:rsidRPr="003F4D14">
        <w:rPr>
          <w:b/>
        </w:rPr>
        <w:t>rivers</w:t>
      </w:r>
      <w:r w:rsidRPr="003F4D14">
        <w:rPr>
          <w:b/>
        </w:rPr>
        <w:t xml:space="preserve"> and</w:t>
      </w:r>
      <w:r w:rsidR="00DD495A" w:rsidRPr="003F4D14">
        <w:rPr>
          <w:b/>
        </w:rPr>
        <w:t xml:space="preserve"> </w:t>
      </w:r>
      <w:r w:rsidR="00316FF9" w:rsidRPr="003F4D14">
        <w:rPr>
          <w:b/>
        </w:rPr>
        <w:t>C</w:t>
      </w:r>
      <w:r w:rsidR="00DD495A" w:rsidRPr="003F4D14">
        <w:rPr>
          <w:b/>
        </w:rPr>
        <w:t>onstraints</w:t>
      </w:r>
      <w:r w:rsidR="009D02E8">
        <w:rPr>
          <w:b/>
        </w:rPr>
        <w:t xml:space="preserve"> </w:t>
      </w:r>
      <w:r w:rsidR="009D02E8" w:rsidRPr="009D02E8">
        <w:rPr>
          <w:i/>
        </w:rPr>
        <w:t>(see definition later in document)</w:t>
      </w:r>
    </w:p>
    <w:p w:rsidR="00DD495A" w:rsidRDefault="000759E5" w:rsidP="000759E5">
      <w:pPr>
        <w:pStyle w:val="ListParagraph"/>
        <w:numPr>
          <w:ilvl w:val="1"/>
          <w:numId w:val="1"/>
        </w:numPr>
      </w:pPr>
      <w:r>
        <w:t xml:space="preserve">What </w:t>
      </w:r>
      <w:r w:rsidR="001C1C8A">
        <w:t xml:space="preserve">is </w:t>
      </w:r>
      <w:r w:rsidR="00316FF9">
        <w:t>our</w:t>
      </w:r>
      <w:r w:rsidR="001C1C8A">
        <w:t xml:space="preserve"> present understanding </w:t>
      </w:r>
      <w:r w:rsidR="00773182">
        <w:t xml:space="preserve">(hypotheses) concerning </w:t>
      </w:r>
      <w:r w:rsidR="001C1C8A">
        <w:t xml:space="preserve">the </w:t>
      </w:r>
      <w:r>
        <w:t>factors (drivers and constraints</w:t>
      </w:r>
      <w:r w:rsidR="006A4539">
        <w:t xml:space="preserve"> – see definitions below</w:t>
      </w:r>
      <w:r>
        <w:t>)</w:t>
      </w:r>
      <w:r w:rsidR="00DD495A">
        <w:t xml:space="preserve"> </w:t>
      </w:r>
      <w:r w:rsidR="001C1C8A">
        <w:t>that significantly</w:t>
      </w:r>
      <w:r w:rsidR="00DD495A">
        <w:t xml:space="preserve"> shape </w:t>
      </w:r>
      <w:r w:rsidR="000D63A4">
        <w:t xml:space="preserve">the </w:t>
      </w:r>
      <w:r w:rsidR="00DD495A">
        <w:t xml:space="preserve">status and trends in these </w:t>
      </w:r>
      <w:r>
        <w:t>conditions?</w:t>
      </w:r>
    </w:p>
    <w:p w:rsidR="00773182" w:rsidRDefault="00773182" w:rsidP="000759E5">
      <w:pPr>
        <w:pStyle w:val="ListParagraph"/>
        <w:numPr>
          <w:ilvl w:val="1"/>
          <w:numId w:val="1"/>
        </w:numPr>
      </w:pPr>
      <w:r>
        <w:lastRenderedPageBreak/>
        <w:t xml:space="preserve">What is </w:t>
      </w:r>
      <w:r w:rsidR="00316FF9">
        <w:t>our</w:t>
      </w:r>
      <w:r>
        <w:t xml:space="preserve"> present </w:t>
      </w:r>
      <w:r w:rsidR="002D37B8">
        <w:t>understanding (hypotheses) concerning</w:t>
      </w:r>
      <w:r>
        <w:t xml:space="preserve"> the strength and direction of these effects?</w:t>
      </w:r>
    </w:p>
    <w:p w:rsidR="000759E5" w:rsidRDefault="000759E5" w:rsidP="000759E5">
      <w:pPr>
        <w:pStyle w:val="ListParagraph"/>
        <w:numPr>
          <w:ilvl w:val="1"/>
          <w:numId w:val="1"/>
        </w:numPr>
      </w:pPr>
      <w:r>
        <w:t xml:space="preserve">How certain or uncertain is this understanding </w:t>
      </w:r>
      <w:r w:rsidR="00773182">
        <w:t>(</w:t>
      </w:r>
      <w:r>
        <w:t>confidence</w:t>
      </w:r>
      <w:r w:rsidR="00773182">
        <w:t>)</w:t>
      </w:r>
      <w:r>
        <w:t>?</w:t>
      </w:r>
    </w:p>
    <w:p w:rsidR="00DD495A" w:rsidRPr="003F4D14" w:rsidRDefault="003F4D14" w:rsidP="000377FA">
      <w:pPr>
        <w:pStyle w:val="ListParagraph"/>
        <w:keepNext/>
        <w:numPr>
          <w:ilvl w:val="0"/>
          <w:numId w:val="1"/>
        </w:numPr>
        <w:rPr>
          <w:b/>
        </w:rPr>
      </w:pPr>
      <w:r>
        <w:rPr>
          <w:b/>
        </w:rPr>
        <w:t>Effects</w:t>
      </w:r>
      <w:r w:rsidR="00DD495A" w:rsidRPr="003F4D14">
        <w:rPr>
          <w:b/>
        </w:rPr>
        <w:t xml:space="preserve"> of </w:t>
      </w:r>
      <w:r w:rsidR="00316FF9" w:rsidRPr="003F4D14">
        <w:rPr>
          <w:b/>
        </w:rPr>
        <w:t>M</w:t>
      </w:r>
      <w:r w:rsidR="004E6383" w:rsidRPr="003F4D14">
        <w:rPr>
          <w:b/>
        </w:rPr>
        <w:t xml:space="preserve">anagement </w:t>
      </w:r>
      <w:r w:rsidR="00316FF9" w:rsidRPr="003F4D14">
        <w:rPr>
          <w:b/>
        </w:rPr>
        <w:t>A</w:t>
      </w:r>
      <w:r w:rsidR="004E6383" w:rsidRPr="003F4D14">
        <w:rPr>
          <w:b/>
        </w:rPr>
        <w:t>ctions</w:t>
      </w:r>
    </w:p>
    <w:p w:rsidR="001C1C8A" w:rsidRDefault="001C1C8A" w:rsidP="001C1C8A">
      <w:pPr>
        <w:pStyle w:val="ListParagraph"/>
        <w:numPr>
          <w:ilvl w:val="1"/>
          <w:numId w:val="1"/>
        </w:numPr>
      </w:pPr>
      <w:r>
        <w:t xml:space="preserve">What is </w:t>
      </w:r>
      <w:r w:rsidR="00316FF9">
        <w:t>our</w:t>
      </w:r>
      <w:r>
        <w:t xml:space="preserve"> present understanding </w:t>
      </w:r>
      <w:r w:rsidR="00316FF9">
        <w:t xml:space="preserve">(hypotheses) concerning </w:t>
      </w:r>
      <w:r>
        <w:t xml:space="preserve">the </w:t>
      </w:r>
      <w:r w:rsidR="00773182">
        <w:t xml:space="preserve">ways in which each </w:t>
      </w:r>
      <w:r w:rsidR="002D37B8">
        <w:t xml:space="preserve">type of </w:t>
      </w:r>
      <w:r w:rsidR="00773182">
        <w:t xml:space="preserve">GCDAMP management action affects or could affect </w:t>
      </w:r>
      <w:r w:rsidR="000D63A4">
        <w:t xml:space="preserve">the </w:t>
      </w:r>
      <w:r>
        <w:t>status and trends in these conditions?</w:t>
      </w:r>
    </w:p>
    <w:p w:rsidR="00773182" w:rsidRDefault="00773182" w:rsidP="00773182">
      <w:pPr>
        <w:pStyle w:val="ListParagraph"/>
        <w:numPr>
          <w:ilvl w:val="1"/>
          <w:numId w:val="1"/>
        </w:numPr>
      </w:pPr>
      <w:r>
        <w:t xml:space="preserve">What is </w:t>
      </w:r>
      <w:r w:rsidR="00316FF9">
        <w:t>our</w:t>
      </w:r>
      <w:r>
        <w:t xml:space="preserve"> present </w:t>
      </w:r>
      <w:r w:rsidR="002D37B8">
        <w:t>understanding (hypotheses) concerning</w:t>
      </w:r>
      <w:r>
        <w:t xml:space="preserve"> the strength and direction of these effects?</w:t>
      </w:r>
    </w:p>
    <w:p w:rsidR="001C1C8A" w:rsidRDefault="001C1C8A" w:rsidP="001C1C8A">
      <w:pPr>
        <w:pStyle w:val="ListParagraph"/>
        <w:numPr>
          <w:ilvl w:val="1"/>
          <w:numId w:val="1"/>
        </w:numPr>
      </w:pPr>
      <w:r>
        <w:t xml:space="preserve">How certain or uncertain is this understanding </w:t>
      </w:r>
      <w:r w:rsidR="00773182">
        <w:t>(</w:t>
      </w:r>
      <w:r>
        <w:t>confidence</w:t>
      </w:r>
      <w:r w:rsidR="00773182">
        <w:t>)</w:t>
      </w:r>
      <w:r>
        <w:t>?</w:t>
      </w:r>
    </w:p>
    <w:p w:rsidR="000377FA" w:rsidRDefault="00145927">
      <w:r>
        <w:t xml:space="preserve">The last of these </w:t>
      </w:r>
      <w:r w:rsidR="00743BE5">
        <w:t xml:space="preserve">three sets of </w:t>
      </w:r>
      <w:r>
        <w:t xml:space="preserve">questions </w:t>
      </w:r>
      <w:r w:rsidR="00743BE5">
        <w:t xml:space="preserve">will focus on </w:t>
      </w:r>
      <w:r w:rsidR="009D02E8">
        <w:t xml:space="preserve">the following specific management actions, identified in the LTEMP </w:t>
      </w:r>
      <w:r w:rsidR="00B04420">
        <w:t>F</w:t>
      </w:r>
      <w:r w:rsidR="009D02E8">
        <w:t>EIS as components of the Preferred Alternative</w:t>
      </w:r>
      <w:r w:rsidR="0028466D">
        <w:rPr>
          <w:rStyle w:val="FootnoteReference"/>
        </w:rPr>
        <w:footnoteReference w:id="1"/>
      </w:r>
      <w:r w:rsidR="009D02E8">
        <w:t>:</w:t>
      </w:r>
    </w:p>
    <w:tbl>
      <w:tblPr>
        <w:tblStyle w:val="TableGrid"/>
        <w:tblW w:w="123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2"/>
        <w:gridCol w:w="6192"/>
      </w:tblGrid>
      <w:tr w:rsidR="00CA468B" w:rsidRPr="00145927" w:rsidTr="00C333C9">
        <w:trPr>
          <w:jc w:val="center"/>
        </w:trPr>
        <w:tc>
          <w:tcPr>
            <w:tcW w:w="6192" w:type="dxa"/>
          </w:tcPr>
          <w:p w:rsidR="00CA468B" w:rsidRPr="00B04420" w:rsidRDefault="00CA468B" w:rsidP="00C333C9">
            <w:pPr>
              <w:pStyle w:val="ListParagraph"/>
              <w:numPr>
                <w:ilvl w:val="0"/>
                <w:numId w:val="12"/>
              </w:numPr>
              <w:ind w:left="234" w:hanging="234"/>
            </w:pPr>
            <w:r w:rsidRPr="00B04420">
              <w:t>Spring HFEs</w:t>
            </w:r>
            <w:r>
              <w:rPr>
                <w:rStyle w:val="FootnoteReference"/>
              </w:rPr>
              <w:footnoteReference w:id="2"/>
            </w:r>
            <w:r w:rsidRPr="00B04420">
              <w:t xml:space="preserve"> ≤ 45,000 </w:t>
            </w:r>
            <w:proofErr w:type="spellStart"/>
            <w:r w:rsidRPr="00B04420">
              <w:t>cfs</w:t>
            </w:r>
            <w:proofErr w:type="spellEnd"/>
            <w:r w:rsidRPr="00B04420">
              <w:t xml:space="preserve"> in March or April</w:t>
            </w:r>
          </w:p>
        </w:tc>
        <w:tc>
          <w:tcPr>
            <w:tcW w:w="6192" w:type="dxa"/>
          </w:tcPr>
          <w:p w:rsidR="00CA468B" w:rsidRPr="00B04420" w:rsidRDefault="00CA468B" w:rsidP="00D23EFE">
            <w:pPr>
              <w:pStyle w:val="ListParagraph"/>
              <w:numPr>
                <w:ilvl w:val="0"/>
                <w:numId w:val="12"/>
              </w:numPr>
              <w:ind w:left="234" w:hanging="234"/>
            </w:pPr>
            <w:r w:rsidRPr="00B04420">
              <w:t>Humpback chub translocation</w:t>
            </w:r>
          </w:p>
        </w:tc>
      </w:tr>
      <w:tr w:rsidR="00CA468B" w:rsidRPr="00145927" w:rsidTr="00C333C9">
        <w:trPr>
          <w:jc w:val="center"/>
        </w:trPr>
        <w:tc>
          <w:tcPr>
            <w:tcW w:w="6192" w:type="dxa"/>
          </w:tcPr>
          <w:p w:rsidR="00CA468B" w:rsidRPr="00B04420" w:rsidRDefault="00CA468B" w:rsidP="00C333C9">
            <w:pPr>
              <w:pStyle w:val="ListParagraph"/>
              <w:numPr>
                <w:ilvl w:val="0"/>
                <w:numId w:val="12"/>
              </w:numPr>
              <w:ind w:left="234" w:hanging="234"/>
            </w:pPr>
            <w:r w:rsidRPr="00B04420">
              <w:t xml:space="preserve">Proactive Spring HFEs ≤ 45,000 </w:t>
            </w:r>
            <w:proofErr w:type="spellStart"/>
            <w:r w:rsidRPr="00B04420">
              <w:t>cfs</w:t>
            </w:r>
            <w:proofErr w:type="spellEnd"/>
            <w:r w:rsidRPr="00B04420">
              <w:t xml:space="preserve"> in April, May, or June</w:t>
            </w:r>
          </w:p>
        </w:tc>
        <w:tc>
          <w:tcPr>
            <w:tcW w:w="6192" w:type="dxa"/>
          </w:tcPr>
          <w:p w:rsidR="00CA468B" w:rsidRPr="00B04420" w:rsidRDefault="00CA468B" w:rsidP="00D23EFE">
            <w:pPr>
              <w:pStyle w:val="ListParagraph"/>
              <w:numPr>
                <w:ilvl w:val="0"/>
                <w:numId w:val="12"/>
              </w:numPr>
              <w:ind w:left="234" w:hanging="234"/>
            </w:pPr>
            <w:r>
              <w:t>Mechanical removal of rainbow trout from LCR</w:t>
            </w:r>
            <w:r>
              <w:rPr>
                <w:rStyle w:val="FootnoteReference"/>
              </w:rPr>
              <w:footnoteReference w:id="3"/>
            </w:r>
            <w:r>
              <w:t xml:space="preserve"> reach</w:t>
            </w:r>
          </w:p>
        </w:tc>
      </w:tr>
      <w:tr w:rsidR="00CA468B" w:rsidRPr="00145927" w:rsidTr="00C333C9">
        <w:trPr>
          <w:jc w:val="center"/>
        </w:trPr>
        <w:tc>
          <w:tcPr>
            <w:tcW w:w="6192" w:type="dxa"/>
          </w:tcPr>
          <w:p w:rsidR="00CA468B" w:rsidRPr="00B04420" w:rsidRDefault="00CA468B" w:rsidP="00640AB2">
            <w:pPr>
              <w:pStyle w:val="ListParagraph"/>
              <w:numPr>
                <w:ilvl w:val="0"/>
                <w:numId w:val="12"/>
              </w:numPr>
              <w:ind w:left="234" w:hanging="234"/>
            </w:pPr>
            <w:r w:rsidRPr="00B04420">
              <w:t xml:space="preserve">Fall HFEs ≤ 45,000 </w:t>
            </w:r>
            <w:proofErr w:type="spellStart"/>
            <w:r w:rsidRPr="00B04420">
              <w:t>cfs</w:t>
            </w:r>
            <w:proofErr w:type="spellEnd"/>
            <w:r w:rsidRPr="00B04420">
              <w:t xml:space="preserve"> in October or November</w:t>
            </w:r>
          </w:p>
        </w:tc>
        <w:tc>
          <w:tcPr>
            <w:tcW w:w="6192" w:type="dxa"/>
          </w:tcPr>
          <w:p w:rsidR="00CA468B" w:rsidRPr="00B04420" w:rsidRDefault="00CA468B" w:rsidP="00D23EFE">
            <w:pPr>
              <w:pStyle w:val="ListParagraph"/>
              <w:numPr>
                <w:ilvl w:val="0"/>
                <w:numId w:val="12"/>
              </w:numPr>
              <w:ind w:left="234" w:hanging="234"/>
            </w:pPr>
            <w:r>
              <w:t>Mechanical removal of invasive fish species</w:t>
            </w:r>
          </w:p>
        </w:tc>
      </w:tr>
      <w:tr w:rsidR="00CA468B" w:rsidRPr="00145927" w:rsidTr="00C333C9">
        <w:trPr>
          <w:jc w:val="center"/>
        </w:trPr>
        <w:tc>
          <w:tcPr>
            <w:tcW w:w="6192" w:type="dxa"/>
          </w:tcPr>
          <w:p w:rsidR="00CA468B" w:rsidRPr="00B04420" w:rsidRDefault="00CA468B" w:rsidP="00640AB2">
            <w:pPr>
              <w:pStyle w:val="ListParagraph"/>
              <w:numPr>
                <w:ilvl w:val="0"/>
                <w:numId w:val="12"/>
              </w:numPr>
              <w:ind w:left="234" w:hanging="234"/>
            </w:pPr>
            <w:r w:rsidRPr="00B04420">
              <w:t>Fall HFEs &gt; 96</w:t>
            </w:r>
            <w:r w:rsidRPr="00B04420">
              <w:rPr>
                <w:rFonts w:ascii="Cambria Math" w:hAnsi="Cambria Math" w:cs="Cambria Math"/>
              </w:rPr>
              <w:t>‐</w:t>
            </w:r>
            <w:r w:rsidRPr="00B04420">
              <w:t>hr duration</w:t>
            </w:r>
          </w:p>
        </w:tc>
        <w:tc>
          <w:tcPr>
            <w:tcW w:w="6192" w:type="dxa"/>
          </w:tcPr>
          <w:p w:rsidR="00CA468B" w:rsidRPr="00B04420" w:rsidRDefault="00CA468B" w:rsidP="00D23EFE">
            <w:pPr>
              <w:pStyle w:val="ListParagraph"/>
              <w:numPr>
                <w:ilvl w:val="0"/>
                <w:numId w:val="12"/>
              </w:numPr>
              <w:ind w:left="234" w:hanging="234"/>
            </w:pPr>
            <w:r w:rsidRPr="00B04420">
              <w:t>Larval humpback chub head-start program</w:t>
            </w:r>
          </w:p>
        </w:tc>
      </w:tr>
      <w:tr w:rsidR="00CA468B" w:rsidRPr="00145927" w:rsidTr="00C333C9">
        <w:trPr>
          <w:jc w:val="center"/>
        </w:trPr>
        <w:tc>
          <w:tcPr>
            <w:tcW w:w="6192" w:type="dxa"/>
          </w:tcPr>
          <w:p w:rsidR="00CA468B" w:rsidRPr="00B04420" w:rsidRDefault="00CA468B" w:rsidP="00640AB2">
            <w:pPr>
              <w:pStyle w:val="ListParagraph"/>
              <w:numPr>
                <w:ilvl w:val="0"/>
                <w:numId w:val="12"/>
              </w:numPr>
              <w:ind w:left="234" w:hanging="234"/>
            </w:pPr>
            <w:r w:rsidRPr="00B04420">
              <w:t>Trout management flows</w:t>
            </w:r>
          </w:p>
        </w:tc>
        <w:tc>
          <w:tcPr>
            <w:tcW w:w="6192" w:type="dxa"/>
          </w:tcPr>
          <w:p w:rsidR="00CA468B" w:rsidRPr="00B04420" w:rsidRDefault="003B7E59" w:rsidP="00D23EFE">
            <w:pPr>
              <w:pStyle w:val="ListParagraph"/>
              <w:numPr>
                <w:ilvl w:val="0"/>
                <w:numId w:val="12"/>
              </w:numPr>
              <w:ind w:left="234" w:hanging="234"/>
            </w:pPr>
            <w:r>
              <w:t>Riparian vegetation restoration</w:t>
            </w:r>
          </w:p>
        </w:tc>
      </w:tr>
      <w:tr w:rsidR="00CA468B" w:rsidRPr="00145927" w:rsidTr="00C333C9">
        <w:trPr>
          <w:jc w:val="center"/>
        </w:trPr>
        <w:tc>
          <w:tcPr>
            <w:tcW w:w="6192" w:type="dxa"/>
          </w:tcPr>
          <w:p w:rsidR="00CA468B" w:rsidRPr="00B04420" w:rsidRDefault="00CA468B" w:rsidP="00C333C9">
            <w:pPr>
              <w:pStyle w:val="ListParagraph"/>
              <w:numPr>
                <w:ilvl w:val="0"/>
                <w:numId w:val="12"/>
              </w:numPr>
              <w:ind w:left="234" w:hanging="234"/>
            </w:pPr>
            <w:r w:rsidRPr="00B04420">
              <w:t>Macroinvertebrate production flows</w:t>
            </w:r>
          </w:p>
        </w:tc>
        <w:tc>
          <w:tcPr>
            <w:tcW w:w="6192" w:type="dxa"/>
          </w:tcPr>
          <w:p w:rsidR="00CA468B" w:rsidRPr="00CA468B" w:rsidRDefault="00CA468B" w:rsidP="00CA468B"/>
        </w:tc>
      </w:tr>
    </w:tbl>
    <w:p w:rsidR="009D02E8" w:rsidRDefault="009D02E8" w:rsidP="00743BE5">
      <w:pPr>
        <w:spacing w:after="0"/>
      </w:pPr>
    </w:p>
    <w:p w:rsidR="00787719" w:rsidRDefault="00824112" w:rsidP="009D02E8">
      <w:r>
        <w:t>Th</w:t>
      </w:r>
      <w:r w:rsidR="00787719">
        <w:t>rough its answers to the three core questions presented above, th</w:t>
      </w:r>
      <w:r>
        <w:t>e present Knowledge Assessment seeks to</w:t>
      </w:r>
      <w:r w:rsidR="00787719">
        <w:t>:</w:t>
      </w:r>
    </w:p>
    <w:p w:rsidR="00787719" w:rsidRDefault="00787719" w:rsidP="00787719">
      <w:pPr>
        <w:pStyle w:val="ListParagraph"/>
        <w:numPr>
          <w:ilvl w:val="0"/>
          <w:numId w:val="11"/>
        </w:numPr>
      </w:pPr>
      <w:r>
        <w:t>Summarize</w:t>
      </w:r>
      <w:r w:rsidRPr="009A334E">
        <w:t xml:space="preserve"> information on status</w:t>
      </w:r>
      <w:r w:rsidR="008F283B">
        <w:t>, trends,</w:t>
      </w:r>
      <w:r w:rsidRPr="009A334E">
        <w:t xml:space="preserve"> and the state of knowledge for </w:t>
      </w:r>
      <w:r w:rsidR="008F283B">
        <w:t>the eleven</w:t>
      </w:r>
      <w:r w:rsidRPr="009A334E">
        <w:t xml:space="preserve"> priority </w:t>
      </w:r>
      <w:r w:rsidR="008F283B">
        <w:t xml:space="preserve">resource </w:t>
      </w:r>
      <w:r w:rsidRPr="009A334E">
        <w:t>topics</w:t>
      </w:r>
      <w:r w:rsidR="008F283B">
        <w:t>, from scientific and Tribal perspectives.</w:t>
      </w:r>
    </w:p>
    <w:p w:rsidR="008F283B" w:rsidRDefault="008F283B" w:rsidP="008F283B">
      <w:pPr>
        <w:pStyle w:val="ListParagraph"/>
        <w:numPr>
          <w:ilvl w:val="0"/>
          <w:numId w:val="11"/>
        </w:numPr>
      </w:pPr>
      <w:r>
        <w:t>Summarize</w:t>
      </w:r>
      <w:r w:rsidRPr="009A334E">
        <w:t xml:space="preserve"> expectations about the likely effects of proposed LTEMP management actions</w:t>
      </w:r>
      <w:r>
        <w:t>.</w:t>
      </w:r>
    </w:p>
    <w:p w:rsidR="008F283B" w:rsidRDefault="008F283B" w:rsidP="008F283B">
      <w:pPr>
        <w:pStyle w:val="ListParagraph"/>
        <w:numPr>
          <w:ilvl w:val="0"/>
          <w:numId w:val="11"/>
        </w:numPr>
      </w:pPr>
      <w:r>
        <w:t>Document</w:t>
      </w:r>
      <w:r w:rsidRPr="009A334E">
        <w:t xml:space="preserve"> the state of knowledge of how antecedent conditions (external drivers and constraints) may affect the outcomes of different management actions</w:t>
      </w:r>
      <w:r>
        <w:t>.</w:t>
      </w:r>
    </w:p>
    <w:p w:rsidR="00787719" w:rsidRDefault="00787719" w:rsidP="00787719">
      <w:pPr>
        <w:pStyle w:val="ListParagraph"/>
        <w:numPr>
          <w:ilvl w:val="0"/>
          <w:numId w:val="11"/>
        </w:numPr>
      </w:pPr>
      <w:r>
        <w:t>I</w:t>
      </w:r>
      <w:r w:rsidR="00824112">
        <w:t>dentify</w:t>
      </w:r>
      <w:r w:rsidR="009D02E8" w:rsidRPr="009A334E">
        <w:t xml:space="preserve"> potential needs for continuing, increasing, reducing, revising, or adding monitoring, research, and other information-gathering efforts to address potentially crucial gaps in knowledge</w:t>
      </w:r>
      <w:r>
        <w:t>.</w:t>
      </w:r>
    </w:p>
    <w:p w:rsidR="009D02E8" w:rsidRDefault="008F283B">
      <w:r>
        <w:t>The present Knowledge Assessment employs a set of standard tables</w:t>
      </w:r>
      <w:r w:rsidR="00154899">
        <w:t xml:space="preserve"> and methods to ensure consistency in each of these four tasks</w:t>
      </w:r>
      <w:r w:rsidR="00755832">
        <w:t xml:space="preserve"> among the teams of experts who will carry out the actual review and respond to feedback on their results from the remainder of the GCDAMP </w:t>
      </w:r>
      <w:r w:rsidR="00755832">
        <w:lastRenderedPageBreak/>
        <w:t>Technical Work Group</w:t>
      </w:r>
      <w:r w:rsidR="00154899">
        <w:t xml:space="preserve">. This </w:t>
      </w:r>
      <w:r w:rsidR="00824112" w:rsidRPr="009A334E">
        <w:t xml:space="preserve">standard methodology </w:t>
      </w:r>
      <w:r w:rsidR="00154899">
        <w:t xml:space="preserve">in turn will </w:t>
      </w:r>
      <w:r w:rsidR="0001440E">
        <w:t>make it easier to maintain and update</w:t>
      </w:r>
      <w:r w:rsidR="00154899">
        <w:t xml:space="preserve"> the resulting </w:t>
      </w:r>
      <w:r w:rsidR="00824112" w:rsidRPr="009A334E">
        <w:t>information.</w:t>
      </w:r>
      <w:r w:rsidR="00154899">
        <w:t xml:space="preserve"> Future Knowledge Assessments likely will also update these methods.</w:t>
      </w:r>
    </w:p>
    <w:p w:rsidR="00D914A8" w:rsidRDefault="00522512">
      <w:r>
        <w:t>Th</w:t>
      </w:r>
      <w:r w:rsidR="00154899">
        <w:t>e remainder of th</w:t>
      </w:r>
      <w:r>
        <w:t xml:space="preserve">is document provides guidance for using a set of tables </w:t>
      </w:r>
      <w:r w:rsidR="00755832">
        <w:t xml:space="preserve">and definitions </w:t>
      </w:r>
      <w:r>
        <w:t xml:space="preserve">to carry out the </w:t>
      </w:r>
      <w:r w:rsidR="00077305">
        <w:t>Knowledge Assessment</w:t>
      </w:r>
      <w:r>
        <w:t xml:space="preserve">. These tables allow the preparers </w:t>
      </w:r>
      <w:r w:rsidR="00755832">
        <w:t xml:space="preserve">(expert teams) </w:t>
      </w:r>
      <w:r>
        <w:t>to summarize their answers to the</w:t>
      </w:r>
      <w:r w:rsidR="000D63A4">
        <w:t>se</w:t>
      </w:r>
      <w:r>
        <w:t xml:space="preserve"> three </w:t>
      </w:r>
      <w:r w:rsidR="00077305">
        <w:t xml:space="preserve">sets of </w:t>
      </w:r>
      <w:r>
        <w:t xml:space="preserve">questions for each </w:t>
      </w:r>
      <w:r w:rsidR="0088341B">
        <w:t>resource</w:t>
      </w:r>
      <w:r>
        <w:t xml:space="preserve"> </w:t>
      </w:r>
      <w:r w:rsidR="00294516">
        <w:t>topic, summarize the rationale for their answers, and present recommendations for monitoring and research</w:t>
      </w:r>
      <w:r w:rsidR="000B77A0">
        <w:t xml:space="preserve"> to </w:t>
      </w:r>
      <w:r w:rsidR="0088341B">
        <w:t>address crucial gaps in knowledge</w:t>
      </w:r>
      <w:r w:rsidR="00D914A8">
        <w:t>.</w:t>
      </w:r>
    </w:p>
    <w:p w:rsidR="00522512" w:rsidRDefault="003851AF" w:rsidP="004344A2">
      <w:pPr>
        <w:pStyle w:val="Heading1"/>
      </w:pPr>
      <w:r>
        <w:t xml:space="preserve">Assessing </w:t>
      </w:r>
      <w:r w:rsidR="00D914A8">
        <w:t>Status and Trend</w:t>
      </w:r>
    </w:p>
    <w:p w:rsidR="00F12A74" w:rsidRDefault="00F12A74">
      <w:r>
        <w:t xml:space="preserve">The </w:t>
      </w:r>
      <w:r w:rsidR="00D80174">
        <w:t xml:space="preserve">GCDAMP </w:t>
      </w:r>
      <w:r w:rsidR="002F08CD">
        <w:t xml:space="preserve">knowledge assessment </w:t>
      </w:r>
      <w:r>
        <w:t xml:space="preserve">of status and trend for each </w:t>
      </w:r>
      <w:r w:rsidR="008A07B6">
        <w:t>resource</w:t>
      </w:r>
      <w:r w:rsidR="002F08CD">
        <w:t xml:space="preserve"> topic</w:t>
      </w:r>
      <w:r>
        <w:t xml:space="preserve"> uses a standard table, an image of which is shown below</w:t>
      </w:r>
      <w:r w:rsidR="00D56DFD">
        <w:t xml:space="preserve"> (</w:t>
      </w:r>
      <w:r w:rsidR="00D56DFD" w:rsidRPr="00D6009B">
        <w:rPr>
          <w:i/>
        </w:rPr>
        <w:t>not shown actual size</w:t>
      </w:r>
      <w:r w:rsidR="00D56DFD">
        <w:t>)</w:t>
      </w:r>
      <w:r>
        <w:t xml:space="preserve">. A separate </w:t>
      </w:r>
      <w:r w:rsidR="002F08CD">
        <w:t>spreadsheet</w:t>
      </w:r>
      <w:r>
        <w:t xml:space="preserve"> provides the actual </w:t>
      </w:r>
      <w:r w:rsidR="002860C4">
        <w:t>(blank)</w:t>
      </w:r>
      <w:r>
        <w:t xml:space="preserve"> table template.</w:t>
      </w:r>
      <w:r w:rsidR="00684F22">
        <w:t xml:space="preserve"> The methodology for the review of status and trend is adapted from the methods established by the National Park Service for its Natural Resources Condition Assessments (</w:t>
      </w:r>
      <w:hyperlink r:id="rId10" w:history="1">
        <w:r w:rsidR="00684F22" w:rsidRPr="00D849E0">
          <w:rPr>
            <w:rStyle w:val="Hyperlink"/>
          </w:rPr>
          <w:t>http://www.nature.nps.gov/water/nrca/</w:t>
        </w:r>
      </w:hyperlink>
      <w:r w:rsidR="00741F81">
        <w:t>) (NPS 2014), with some additions</w:t>
      </w:r>
      <w:r w:rsidR="002F08CD">
        <w:t xml:space="preserve"> adapted from </w:t>
      </w:r>
      <w:r w:rsidR="000D63A4">
        <w:t xml:space="preserve">the </w:t>
      </w:r>
      <w:r w:rsidR="008F7903" w:rsidRPr="005026C2">
        <w:t>Sac</w:t>
      </w:r>
      <w:r w:rsidR="008F7903">
        <w:t>ramento-San Joaquin Delta </w:t>
      </w:r>
      <w:r w:rsidR="008F7903" w:rsidRPr="005026C2">
        <w:t>Ecosystem Restoration Program (</w:t>
      </w:r>
      <w:hyperlink r:id="rId11" w:history="1">
        <w:r w:rsidR="008F7903" w:rsidRPr="001D2FD6">
          <w:rPr>
            <w:rStyle w:val="Hyperlink"/>
            <w:rFonts w:eastAsia="Calibri"/>
          </w:rPr>
          <w:t>https://www.dfg.ca.gov/ERP/ conceptual_models.asp</w:t>
        </w:r>
      </w:hyperlink>
      <w:r w:rsidR="008F7903">
        <w:t>) (</w:t>
      </w:r>
      <w:proofErr w:type="spellStart"/>
      <w:r w:rsidR="008F7903">
        <w:t>D</w:t>
      </w:r>
      <w:r w:rsidR="002F08CD" w:rsidRPr="00C35198">
        <w:t>iGennaro</w:t>
      </w:r>
      <w:proofErr w:type="spellEnd"/>
      <w:r w:rsidR="002F08CD" w:rsidRPr="00C35198">
        <w:t xml:space="preserve"> et al. 2012</w:t>
      </w:r>
      <w:r w:rsidR="002F08CD">
        <w:t>)</w:t>
      </w:r>
      <w:r w:rsidR="00741F81">
        <w:t>.</w:t>
      </w:r>
    </w:p>
    <w:p w:rsidR="002860C4" w:rsidRDefault="003B7E59">
      <w:r w:rsidRPr="003B7E59">
        <w:drawing>
          <wp:inline distT="0" distB="0" distL="0" distR="0" wp14:anchorId="7783D0EA" wp14:editId="16F28D95">
            <wp:extent cx="8595360" cy="897219"/>
            <wp:effectExtent l="19050" t="19050" r="1524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5360" cy="897219"/>
                    </a:xfrm>
                    <a:prstGeom prst="rect">
                      <a:avLst/>
                    </a:prstGeom>
                    <a:noFill/>
                    <a:ln w="3175">
                      <a:solidFill>
                        <a:schemeClr val="tx1"/>
                      </a:solidFill>
                    </a:ln>
                  </pic:spPr>
                </pic:pic>
              </a:graphicData>
            </a:graphic>
          </wp:inline>
        </w:drawing>
      </w:r>
    </w:p>
    <w:p w:rsidR="00894AF2" w:rsidRDefault="00604552">
      <w:r>
        <w:t xml:space="preserve">The table recognizes that GCDAMP investigators typically </w:t>
      </w:r>
      <w:r w:rsidR="00D6009B">
        <w:t>focus on</w:t>
      </w:r>
      <w:r>
        <w:t xml:space="preserve"> several </w:t>
      </w:r>
      <w:r w:rsidR="00D6009B">
        <w:t xml:space="preserve">specific </w:t>
      </w:r>
      <w:r>
        <w:t>characteristics</w:t>
      </w:r>
      <w:r w:rsidR="0037411F">
        <w:t>, conditions,</w:t>
      </w:r>
      <w:r>
        <w:t xml:space="preserve"> </w:t>
      </w:r>
      <w:r w:rsidR="00D6009B">
        <w:t xml:space="preserve">or variables </w:t>
      </w:r>
      <w:r>
        <w:t xml:space="preserve">for each </w:t>
      </w:r>
      <w:r w:rsidR="0088341B">
        <w:t>resource</w:t>
      </w:r>
      <w:r w:rsidR="00D6009B">
        <w:t xml:space="preserve"> topic</w:t>
      </w:r>
      <w:r w:rsidR="0011175C">
        <w:t xml:space="preserve">. </w:t>
      </w:r>
      <w:r w:rsidR="00894AF2">
        <w:t xml:space="preserve">For example, the investigations of sediment focus on </w:t>
      </w:r>
      <w:r w:rsidR="00D011D6">
        <w:t>sandbar area, sediment storage in sandbars and within-channel deposits, both total storage and its spatial distribution</w:t>
      </w:r>
      <w:r w:rsidR="00964807">
        <w:t>, and sediment transport as both suspended sediment and bedload</w:t>
      </w:r>
      <w:r w:rsidR="00D011D6">
        <w:t xml:space="preserve">. </w:t>
      </w:r>
      <w:r w:rsidR="00964807">
        <w:t xml:space="preserve">Similarly, the investigations of the aquatic food base focus on overall </w:t>
      </w:r>
      <w:r w:rsidR="00EA4DE7">
        <w:t xml:space="preserve">biomass </w:t>
      </w:r>
      <w:r w:rsidR="00964807">
        <w:t>productivity, overall species diversity, the relative proportions of particular species of both algae and aquatic macroinvertebrates</w:t>
      </w:r>
      <w:r w:rsidR="00EA4DE7">
        <w:t>, and how these vary over time and space.</w:t>
      </w:r>
    </w:p>
    <w:p w:rsidR="00D1345A" w:rsidRDefault="0011175C">
      <w:r>
        <w:t xml:space="preserve">Additionally, </w:t>
      </w:r>
      <w:r w:rsidR="00D6009B">
        <w:t xml:space="preserve">GCDAMP </w:t>
      </w:r>
      <w:r>
        <w:t>investigators may track each characteristic</w:t>
      </w:r>
      <w:r w:rsidR="0037411F">
        <w:t>, condition,</w:t>
      </w:r>
      <w:r>
        <w:t xml:space="preserve"> </w:t>
      </w:r>
      <w:r w:rsidR="00D6009B">
        <w:t xml:space="preserve">or variable </w:t>
      </w:r>
      <w:r>
        <w:t xml:space="preserve">using one or more </w:t>
      </w:r>
      <w:r w:rsidR="00041CE3">
        <w:t xml:space="preserve">specific, </w:t>
      </w:r>
      <w:r w:rsidRPr="00D1345A">
        <w:rPr>
          <w:i/>
        </w:rPr>
        <w:t>technical measures</w:t>
      </w:r>
      <w:r>
        <w:t xml:space="preserve">. </w:t>
      </w:r>
      <w:r w:rsidR="00367D96">
        <w:t xml:space="preserve">These technical measures </w:t>
      </w:r>
      <w:r w:rsidR="00D1345A">
        <w:t>often are</w:t>
      </w:r>
      <w:r w:rsidR="00367D96">
        <w:t xml:space="preserve"> defined in existing investigative protocols. For example, </w:t>
      </w:r>
      <w:r w:rsidR="00495620">
        <w:t xml:space="preserve">the assessment of sediment storage described in the current (FY15-17) Triennial Work Plan relies on a battery of technical measures, </w:t>
      </w:r>
      <w:r w:rsidR="006624D4">
        <w:t xml:space="preserve">including </w:t>
      </w:r>
      <w:r w:rsidR="00611B2E">
        <w:t xml:space="preserve">yearly </w:t>
      </w:r>
      <w:r w:rsidR="006624D4">
        <w:t xml:space="preserve">conventional topographic surveys of volume and area at 47 high-elevation sandbar sites, estimates of area based on </w:t>
      </w:r>
      <w:r w:rsidR="00611B2E">
        <w:t xml:space="preserve">daily imagery from </w:t>
      </w:r>
      <w:r w:rsidR="006624D4">
        <w:t xml:space="preserve">remotely deployed digital cameras at 42 high-elevation sandbar sites, remote sensing of area at </w:t>
      </w:r>
      <w:r w:rsidR="00611B2E">
        <w:t xml:space="preserve">&gt; 1000 high-elevation sandbar sites every four years, conventional topographic surveys of volume and area at high-elevation sandbars in 30 to 80-mile segments every 3 to 10 years, </w:t>
      </w:r>
      <w:r w:rsidR="00401FA4">
        <w:t>and combined bathymetric and topographic surveys of low-elevation fine-sediment storage volume in in 30 to 80-mile segments every 3 to 10 years.</w:t>
      </w:r>
    </w:p>
    <w:p w:rsidR="006624D4" w:rsidRDefault="00401FA4">
      <w:r>
        <w:t xml:space="preserve">However, previous investigations may not yet have defined technical measures for all </w:t>
      </w:r>
      <w:r w:rsidR="00C761C2">
        <w:t xml:space="preserve">specific characteristics, conditions, or variables of interest for each resource topic. In these latter circumstances, </w:t>
      </w:r>
      <w:r w:rsidR="00AB07BC">
        <w:t xml:space="preserve">whenever possible, </w:t>
      </w:r>
      <w:r w:rsidR="00C761C2">
        <w:t xml:space="preserve">the person or team preparing the status/trend table for the </w:t>
      </w:r>
      <w:r w:rsidR="00C761C2">
        <w:lastRenderedPageBreak/>
        <w:t xml:space="preserve">resource topic should </w:t>
      </w:r>
      <w:r w:rsidR="00AB07BC">
        <w:t xml:space="preserve">identify one or more technical measures that could </w:t>
      </w:r>
      <w:r w:rsidR="00C761C2">
        <w:t>provide information on the specific characteristics, conditions, or variables of interest</w:t>
      </w:r>
      <w:r w:rsidR="00AB07BC">
        <w:t xml:space="preserve">. A subsequent rating of “Low” for confidence (see below) should then reflect the absence of established or well-defined technical measures for </w:t>
      </w:r>
      <w:r w:rsidR="00532210">
        <w:t>the characteristics, conditions, or variables of interest.</w:t>
      </w:r>
    </w:p>
    <w:p w:rsidR="00525408" w:rsidRDefault="00041CE3">
      <w:r>
        <w:t xml:space="preserve">The </w:t>
      </w:r>
      <w:r w:rsidR="0037411F">
        <w:t xml:space="preserve">person or team preparing the </w:t>
      </w:r>
      <w:r w:rsidR="00532210">
        <w:t xml:space="preserve">status/trend </w:t>
      </w:r>
      <w:r w:rsidR="0037411F">
        <w:t xml:space="preserve">table for an individual </w:t>
      </w:r>
      <w:r w:rsidR="00367D96">
        <w:t>resource</w:t>
      </w:r>
      <w:r w:rsidR="0037411F">
        <w:t xml:space="preserve"> topic </w:t>
      </w:r>
      <w:r w:rsidR="0011175C">
        <w:t xml:space="preserve">must </w:t>
      </w:r>
      <w:r w:rsidR="0037411F">
        <w:t>assess</w:t>
      </w:r>
      <w:r>
        <w:t xml:space="preserve"> present understanding of </w:t>
      </w:r>
      <w:r w:rsidRPr="00041CE3">
        <w:rPr>
          <w:i/>
        </w:rPr>
        <w:t>each technical measure</w:t>
      </w:r>
      <w:r>
        <w:t xml:space="preserve"> on three dimensions</w:t>
      </w:r>
      <w:r w:rsidR="00F82212">
        <w:t>:</w:t>
      </w:r>
      <w:r>
        <w:t xml:space="preserve"> </w:t>
      </w:r>
      <w:r w:rsidR="0037411F">
        <w:t xml:space="preserve">the current </w:t>
      </w:r>
      <w:r w:rsidR="00706624">
        <w:t>status</w:t>
      </w:r>
      <w:r w:rsidR="0037411F">
        <w:t xml:space="preserve"> of the characteristic, condition, or variable; any trend(s) in this </w:t>
      </w:r>
      <w:r w:rsidR="00706624">
        <w:t>status</w:t>
      </w:r>
      <w:r w:rsidR="001A1F9F">
        <w:t>;</w:t>
      </w:r>
      <w:r w:rsidR="00706624">
        <w:t xml:space="preserve"> and confidence in the status and trend assessments.</w:t>
      </w:r>
      <w:r w:rsidR="0037411F">
        <w:t xml:space="preserve"> </w:t>
      </w:r>
      <w:r w:rsidR="001A1F9F">
        <w:t xml:space="preserve">The person or team preparing the table for an individual </w:t>
      </w:r>
      <w:r w:rsidR="008A07B6">
        <w:t>resource topic</w:t>
      </w:r>
      <w:r w:rsidR="001A1F9F">
        <w:t xml:space="preserve"> also must </w:t>
      </w:r>
      <w:r w:rsidR="0037411F">
        <w:t xml:space="preserve">provide </w:t>
      </w:r>
      <w:r w:rsidR="00247C95">
        <w:t xml:space="preserve">a </w:t>
      </w:r>
      <w:r w:rsidR="001A1F9F">
        <w:t xml:space="preserve">brief </w:t>
      </w:r>
      <w:r w:rsidR="0037411F">
        <w:t xml:space="preserve">rationale for the resulting </w:t>
      </w:r>
      <w:r w:rsidR="001A1F9F">
        <w:t xml:space="preserve">ratings for status/trend and confidence; and may also offer recommendations for monitoring and research to </w:t>
      </w:r>
      <w:r w:rsidR="00851A50">
        <w:t>ad</w:t>
      </w:r>
      <w:r w:rsidR="003B7E59">
        <w:t>dress crucial gaps in knowledge</w:t>
      </w:r>
      <w:r w:rsidR="0037411F">
        <w:t xml:space="preserve">. The </w:t>
      </w:r>
      <w:r w:rsidR="001A1F9F">
        <w:t>definitions and rating levels for assessing status, trend</w:t>
      </w:r>
      <w:r w:rsidR="003B7E59">
        <w:t>, and confidence are as follows:</w:t>
      </w:r>
    </w:p>
    <w:p w:rsidR="00551CBB" w:rsidRDefault="008F5EDE" w:rsidP="008F5EDE">
      <w:pPr>
        <w:pStyle w:val="Heading2"/>
      </w:pPr>
      <w:r>
        <w:t>Status</w:t>
      </w:r>
      <w:r w:rsidR="003851AF">
        <w:t xml:space="preserve"> (Rating Definitions)</w:t>
      </w:r>
    </w:p>
    <w:p w:rsidR="00551CBB" w:rsidRDefault="00E2754E" w:rsidP="008F5EDE">
      <w:pPr>
        <w:pStyle w:val="ListParagraph"/>
        <w:numPr>
          <w:ilvl w:val="0"/>
          <w:numId w:val="3"/>
        </w:numPr>
      </w:pPr>
      <w:bookmarkStart w:id="2" w:name="OLE_LINK1"/>
      <w:r>
        <w:rPr>
          <w:u w:val="single"/>
        </w:rPr>
        <w:t xml:space="preserve">Resource is in </w:t>
      </w:r>
      <w:r w:rsidR="008F5EDE" w:rsidRPr="008F5EDE">
        <w:rPr>
          <w:u w:val="single"/>
        </w:rPr>
        <w:t>Good Condition</w:t>
      </w:r>
      <w:r w:rsidR="008F5EDE">
        <w:t>: The resource characteristic, or its specific technical measure, lies within an acceptable range of condition. This range may be a reference range, or a target specified in some management policy</w:t>
      </w:r>
      <w:r w:rsidR="00F30451">
        <w:t xml:space="preserve"> or </w:t>
      </w:r>
      <w:r w:rsidR="00532210">
        <w:t>guidance.</w:t>
      </w:r>
    </w:p>
    <w:p w:rsidR="008F5EDE" w:rsidRDefault="00684F22" w:rsidP="00684F22">
      <w:pPr>
        <w:pStyle w:val="ListParagraph"/>
        <w:numPr>
          <w:ilvl w:val="0"/>
          <w:numId w:val="3"/>
        </w:numPr>
      </w:pPr>
      <w:r w:rsidRPr="00684F22">
        <w:rPr>
          <w:u w:val="single"/>
        </w:rPr>
        <w:t>Condition Warrants Moderate Concern</w:t>
      </w:r>
      <w:r>
        <w:t xml:space="preserve">: The resource characteristic, or its specific technical measure, lies outside </w:t>
      </w:r>
      <w:r w:rsidR="00F30451">
        <w:t>its</w:t>
      </w:r>
      <w:r>
        <w:t xml:space="preserve"> acceptable </w:t>
      </w:r>
      <w:r w:rsidR="00F30451">
        <w:t xml:space="preserve">range of condition but could be improved through the application of existing management </w:t>
      </w:r>
      <w:r w:rsidR="00327DA2">
        <w:t>methods without significant changes in management policies or expenditures</w:t>
      </w:r>
      <w:r w:rsidR="00F30451">
        <w:t>.</w:t>
      </w:r>
    </w:p>
    <w:p w:rsidR="00327DA2" w:rsidRDefault="00327DA2" w:rsidP="00327DA2">
      <w:pPr>
        <w:pStyle w:val="ListParagraph"/>
        <w:numPr>
          <w:ilvl w:val="0"/>
          <w:numId w:val="3"/>
        </w:numPr>
      </w:pPr>
      <w:r w:rsidRPr="00684F22">
        <w:rPr>
          <w:u w:val="single"/>
        </w:rPr>
        <w:t xml:space="preserve">Condition Warrants </w:t>
      </w:r>
      <w:r>
        <w:rPr>
          <w:u w:val="single"/>
        </w:rPr>
        <w:t>Significant</w:t>
      </w:r>
      <w:r w:rsidRPr="00684F22">
        <w:rPr>
          <w:u w:val="single"/>
        </w:rPr>
        <w:t xml:space="preserve"> Concern</w:t>
      </w:r>
      <w:r>
        <w:t>: The resource characteristic, or its specific technical measure, lies outside its acceptable range of condition and cannot be improved through the application of existing management methods without significant changes in management policies or expenditures.</w:t>
      </w:r>
    </w:p>
    <w:p w:rsidR="00912DBF" w:rsidRDefault="00507EB5" w:rsidP="00507EB5">
      <w:pPr>
        <w:pStyle w:val="ListParagraph"/>
        <w:numPr>
          <w:ilvl w:val="0"/>
          <w:numId w:val="3"/>
        </w:numPr>
      </w:pPr>
      <w:r>
        <w:rPr>
          <w:u w:val="single"/>
        </w:rPr>
        <w:t>Unknown</w:t>
      </w:r>
      <w:r w:rsidR="002D319B">
        <w:t xml:space="preserve">: </w:t>
      </w:r>
      <w:r w:rsidR="00005A07">
        <w:t>(1) There is not s</w:t>
      </w:r>
      <w:r w:rsidRPr="00507EB5">
        <w:t xml:space="preserve">ufficient information </w:t>
      </w:r>
      <w:r w:rsidR="00005A07">
        <w:t>about</w:t>
      </w:r>
      <w:r w:rsidRPr="00507EB5">
        <w:t xml:space="preserve"> the resource characteristic or its specific technical measure, to assess for evidence of status. This rating typically </w:t>
      </w:r>
      <w:r w:rsidR="00005A07">
        <w:t>calls for</w:t>
      </w:r>
      <w:r w:rsidRPr="00507EB5">
        <w:t xml:space="preserve"> ratings of </w:t>
      </w:r>
      <w:r>
        <w:t>“U</w:t>
      </w:r>
      <w:r w:rsidRPr="00507EB5">
        <w:t>nknown</w:t>
      </w:r>
      <w:r>
        <w:t>”</w:t>
      </w:r>
      <w:r w:rsidRPr="00507EB5">
        <w:t xml:space="preserve"> for </w:t>
      </w:r>
      <w:r>
        <w:t>trend</w:t>
      </w:r>
      <w:r w:rsidRPr="00507EB5">
        <w:t xml:space="preserve"> and </w:t>
      </w:r>
      <w:r>
        <w:t>“L</w:t>
      </w:r>
      <w:r w:rsidRPr="00507EB5">
        <w:t>ow</w:t>
      </w:r>
      <w:r>
        <w:t>”</w:t>
      </w:r>
      <w:r w:rsidRPr="00507EB5">
        <w:t xml:space="preserve"> for confidence. However, in some cases it may be possible to assess trend but not status. In such cases the user must explain why it is possible to assess trend but not status. </w:t>
      </w:r>
      <w:r w:rsidR="00005A07">
        <w:t>Or</w:t>
      </w:r>
      <w:r w:rsidRPr="00507EB5">
        <w:t xml:space="preserve"> </w:t>
      </w:r>
      <w:r w:rsidR="00005A07">
        <w:t xml:space="preserve">(2) </w:t>
      </w:r>
      <w:r w:rsidRPr="00507EB5">
        <w:t>the acceptable range of condition has not yet been defined for the resource characteristic or its specific technical measure.</w:t>
      </w:r>
    </w:p>
    <w:bookmarkEnd w:id="2"/>
    <w:p w:rsidR="00327DA2" w:rsidRDefault="00327DA2" w:rsidP="00327DA2">
      <w:pPr>
        <w:pStyle w:val="Heading2"/>
      </w:pPr>
      <w:r>
        <w:t xml:space="preserve">Trend </w:t>
      </w:r>
      <w:r w:rsidR="003851AF">
        <w:t>(Rating Definitions)</w:t>
      </w:r>
    </w:p>
    <w:p w:rsidR="00327DA2" w:rsidRDefault="00327DA2" w:rsidP="00327DA2">
      <w:pPr>
        <w:pStyle w:val="ListParagraph"/>
        <w:numPr>
          <w:ilvl w:val="0"/>
          <w:numId w:val="4"/>
        </w:numPr>
      </w:pPr>
      <w:bookmarkStart w:id="3" w:name="OLE_LINK2"/>
      <w:r w:rsidRPr="00327DA2">
        <w:rPr>
          <w:u w:val="single"/>
        </w:rPr>
        <w:t xml:space="preserve">Condition is </w:t>
      </w:r>
      <w:proofErr w:type="gramStart"/>
      <w:r w:rsidRPr="00327DA2">
        <w:rPr>
          <w:u w:val="single"/>
        </w:rPr>
        <w:t>Improving</w:t>
      </w:r>
      <w:proofErr w:type="gramEnd"/>
      <w:r>
        <w:t xml:space="preserve">: The resource characteristic, or its specific technical measure, </w:t>
      </w:r>
      <w:r w:rsidR="00E2754E">
        <w:t>shows a trend toward or further into its</w:t>
      </w:r>
      <w:r>
        <w:t xml:space="preserve"> acceptable </w:t>
      </w:r>
      <w:r w:rsidR="00E2754E">
        <w:t>range of condition.</w:t>
      </w:r>
    </w:p>
    <w:p w:rsidR="00E2754E" w:rsidRDefault="00E2754E" w:rsidP="00E2754E">
      <w:pPr>
        <w:pStyle w:val="ListParagraph"/>
        <w:numPr>
          <w:ilvl w:val="0"/>
          <w:numId w:val="4"/>
        </w:numPr>
      </w:pPr>
      <w:r w:rsidRPr="00327DA2">
        <w:rPr>
          <w:u w:val="single"/>
        </w:rPr>
        <w:t xml:space="preserve">Condition is </w:t>
      </w:r>
      <w:r>
        <w:rPr>
          <w:u w:val="single"/>
        </w:rPr>
        <w:t>Unchanging</w:t>
      </w:r>
      <w:r>
        <w:t xml:space="preserve">: The resource characteristic, or its specific technical measure, shows no trend </w:t>
      </w:r>
      <w:r w:rsidR="00280B72">
        <w:t xml:space="preserve">of </w:t>
      </w:r>
      <w:r>
        <w:t>either improvement or deterioration in condition.</w:t>
      </w:r>
    </w:p>
    <w:p w:rsidR="00E2754E" w:rsidRDefault="00E2754E" w:rsidP="00E2754E">
      <w:pPr>
        <w:pStyle w:val="ListParagraph"/>
        <w:numPr>
          <w:ilvl w:val="0"/>
          <w:numId w:val="4"/>
        </w:numPr>
      </w:pPr>
      <w:r w:rsidRPr="00327DA2">
        <w:rPr>
          <w:u w:val="single"/>
        </w:rPr>
        <w:t xml:space="preserve">Condition is </w:t>
      </w:r>
      <w:proofErr w:type="gramStart"/>
      <w:r>
        <w:rPr>
          <w:u w:val="single"/>
        </w:rPr>
        <w:t>Deteriorating</w:t>
      </w:r>
      <w:proofErr w:type="gramEnd"/>
      <w:r>
        <w:t>: The resource characteristic, or its specific technical measure, shows a trend away or departing from its acceptable range of condition.</w:t>
      </w:r>
    </w:p>
    <w:p w:rsidR="00912DBF" w:rsidRDefault="00912DBF" w:rsidP="00507EB5">
      <w:pPr>
        <w:pStyle w:val="ListParagraph"/>
        <w:numPr>
          <w:ilvl w:val="0"/>
          <w:numId w:val="4"/>
        </w:numPr>
      </w:pPr>
      <w:r>
        <w:rPr>
          <w:u w:val="single"/>
        </w:rPr>
        <w:t>Unknown</w:t>
      </w:r>
      <w:r>
        <w:t xml:space="preserve">: </w:t>
      </w:r>
      <w:r w:rsidR="00814F6A">
        <w:t>There is not s</w:t>
      </w:r>
      <w:r w:rsidR="00814F6A" w:rsidRPr="00507EB5">
        <w:t xml:space="preserve">ufficient information </w:t>
      </w:r>
      <w:r w:rsidR="00814F6A">
        <w:t>about</w:t>
      </w:r>
      <w:r w:rsidR="00814F6A" w:rsidRPr="00507EB5">
        <w:t xml:space="preserve"> the resource characteristic or its specific technical measure</w:t>
      </w:r>
      <w:r w:rsidR="00507EB5" w:rsidRPr="00507EB5">
        <w:t>, to assess for evidence of any trend.</w:t>
      </w:r>
    </w:p>
    <w:bookmarkEnd w:id="3"/>
    <w:p w:rsidR="00EC3449" w:rsidRDefault="003851AF" w:rsidP="00EC3449">
      <w:pPr>
        <w:pStyle w:val="Heading2"/>
        <w:ind w:left="720" w:hanging="720"/>
      </w:pPr>
      <w:r>
        <w:lastRenderedPageBreak/>
        <w:t>Confidence (Rating Definitions)</w:t>
      </w:r>
    </w:p>
    <w:p w:rsidR="00861A51" w:rsidRDefault="00D33C48" w:rsidP="00D33C48">
      <w:pPr>
        <w:pStyle w:val="ListParagraph"/>
        <w:numPr>
          <w:ilvl w:val="0"/>
          <w:numId w:val="5"/>
        </w:numPr>
      </w:pPr>
      <w:bookmarkStart w:id="4" w:name="OLE_LINK3"/>
      <w:r w:rsidRPr="00D33C48">
        <w:rPr>
          <w:u w:val="single"/>
        </w:rPr>
        <w:t>High</w:t>
      </w:r>
      <w:r>
        <w:t>: Current u</w:t>
      </w:r>
      <w:r w:rsidRPr="00D33C48">
        <w:t xml:space="preserve">nderstanding of </w:t>
      </w:r>
      <w:r>
        <w:t>status and trend</w:t>
      </w:r>
      <w:r w:rsidRPr="00D33C48">
        <w:t xml:space="preserve"> is subject to little or no disagreement or uncertainty </w:t>
      </w:r>
      <w:r w:rsidR="00791B46">
        <w:t xml:space="preserve">among investigators and </w:t>
      </w:r>
      <w:r w:rsidRPr="00D33C48">
        <w:t>in peer-reviewed studies</w:t>
      </w:r>
      <w:r w:rsidR="00791B46">
        <w:t xml:space="preserve">; </w:t>
      </w:r>
      <w:r w:rsidR="0027132C">
        <w:t>is support</w:t>
      </w:r>
      <w:r w:rsidR="008B0574">
        <w:t xml:space="preserve">ed by substantial, high-quality, documented </w:t>
      </w:r>
      <w:r w:rsidR="00230180">
        <w:t xml:space="preserve">expert knowledge and/or </w:t>
      </w:r>
      <w:r w:rsidR="0027132C">
        <w:t>evidence and</w:t>
      </w:r>
      <w:r w:rsidR="00791584">
        <w:t>, where appropriate, by</w:t>
      </w:r>
      <w:r w:rsidR="0027132C">
        <w:t xml:space="preserve"> well-accepted statistical analyses; </w:t>
      </w:r>
      <w:r w:rsidR="00791B46">
        <w:t xml:space="preserve">and is consistent with </w:t>
      </w:r>
      <w:r w:rsidR="00840D9A">
        <w:t>w</w:t>
      </w:r>
      <w:r w:rsidRPr="00D33C48">
        <w:t xml:space="preserve">ell-accepted principles </w:t>
      </w:r>
      <w:r w:rsidR="00791B46">
        <w:t xml:space="preserve">in the relevant fields of knowledge </w:t>
      </w:r>
      <w:r w:rsidRPr="00D33C48">
        <w:t xml:space="preserve">and/or </w:t>
      </w:r>
      <w:r w:rsidR="003851AF">
        <w:t xml:space="preserve">with </w:t>
      </w:r>
      <w:r w:rsidRPr="00D33C48">
        <w:t>studies in highly analogous systems.</w:t>
      </w:r>
    </w:p>
    <w:p w:rsidR="002B5031" w:rsidRDefault="002B5031" w:rsidP="002B5031">
      <w:pPr>
        <w:pStyle w:val="ListParagraph"/>
        <w:numPr>
          <w:ilvl w:val="0"/>
          <w:numId w:val="5"/>
        </w:numPr>
      </w:pPr>
      <w:r>
        <w:rPr>
          <w:u w:val="single"/>
        </w:rPr>
        <w:t>Medium</w:t>
      </w:r>
      <w:r w:rsidRPr="00791B46">
        <w:t>:</w:t>
      </w:r>
      <w:r>
        <w:t xml:space="preserve"> Current u</w:t>
      </w:r>
      <w:r w:rsidRPr="00D33C48">
        <w:t xml:space="preserve">nderstanding of </w:t>
      </w:r>
      <w:r w:rsidR="00792482">
        <w:t>status and trend</w:t>
      </w:r>
      <w:r w:rsidRPr="00D33C48">
        <w:t xml:space="preserve"> is subject to </w:t>
      </w:r>
      <w:r>
        <w:t>moderate</w:t>
      </w:r>
      <w:r w:rsidRPr="00D33C48">
        <w:t xml:space="preserve"> disagreement or uncertainty </w:t>
      </w:r>
      <w:r>
        <w:t xml:space="preserve">among investigators and among </w:t>
      </w:r>
      <w:r w:rsidRPr="00D33C48">
        <w:t>peer-reviewed studies</w:t>
      </w:r>
      <w:r>
        <w:t xml:space="preserve">; and is supported by some </w:t>
      </w:r>
      <w:r w:rsidR="008B0574">
        <w:t xml:space="preserve">documented </w:t>
      </w:r>
      <w:r>
        <w:t xml:space="preserve">expert knowledge and/or evidence and analyses. The expert knowledge and/or evidence and analyses may be limited or subject to methodological weaknesses, but nevertheless may be 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p>
    <w:p w:rsidR="0027132C" w:rsidRDefault="0027132C" w:rsidP="00F3334B">
      <w:pPr>
        <w:pStyle w:val="ListParagraph"/>
        <w:numPr>
          <w:ilvl w:val="0"/>
          <w:numId w:val="5"/>
        </w:numPr>
      </w:pPr>
      <w:r>
        <w:rPr>
          <w:u w:val="single"/>
        </w:rPr>
        <w:t>Low</w:t>
      </w:r>
      <w:r w:rsidRPr="0027132C">
        <w:t>:</w:t>
      </w:r>
      <w:r>
        <w:t xml:space="preserve"> </w:t>
      </w:r>
      <w:r w:rsidR="00E9514A">
        <w:t>Current u</w:t>
      </w:r>
      <w:r w:rsidR="00E9514A" w:rsidRPr="00D33C48">
        <w:t xml:space="preserve">nderstanding of </w:t>
      </w:r>
      <w:r w:rsidR="00E9514A">
        <w:t>status and trend</w:t>
      </w:r>
      <w:r w:rsidR="00E9514A" w:rsidRPr="00D33C48">
        <w:t xml:space="preserve"> is subject to </w:t>
      </w:r>
      <w:r w:rsidR="00E9514A">
        <w:t>substantial</w:t>
      </w:r>
      <w:r w:rsidR="00E9514A" w:rsidRPr="00D33C48">
        <w:t xml:space="preserve"> disagreement or uncertainty </w:t>
      </w:r>
      <w:r w:rsidR="00E9514A">
        <w:t xml:space="preserve">among investigators and among </w:t>
      </w:r>
      <w:r w:rsidR="00E9514A" w:rsidRPr="00D33C48">
        <w:t>peer-reviewed studies</w:t>
      </w:r>
      <w:r w:rsidR="00E9514A">
        <w:t xml:space="preserve">; is supported by only limited </w:t>
      </w:r>
      <w:r w:rsidR="008B0574">
        <w:t xml:space="preserve">or undocumented </w:t>
      </w:r>
      <w:r w:rsidR="00230180">
        <w:t xml:space="preserve">expert knowledge and/or </w:t>
      </w:r>
      <w:r w:rsidR="00E9514A">
        <w:t xml:space="preserve">evidence and analyses that may also be subject to methodological weaknesses; and may be inconsistent with </w:t>
      </w:r>
      <w:r w:rsidR="00E9514A" w:rsidRPr="00D33C48">
        <w:t xml:space="preserve">well-accepted principles </w:t>
      </w:r>
      <w:r w:rsidR="00E9514A">
        <w:t xml:space="preserve">in the relevant fields of knowledge </w:t>
      </w:r>
      <w:r w:rsidR="00E9514A" w:rsidRPr="00D33C48">
        <w:t xml:space="preserve">and/or </w:t>
      </w:r>
      <w:r w:rsidR="003851AF">
        <w:t xml:space="preserve">with </w:t>
      </w:r>
      <w:r w:rsidR="00E9514A" w:rsidRPr="00D33C48">
        <w:t>studies in highly analogous systems.</w:t>
      </w:r>
      <w:r w:rsidR="00F3334B">
        <w:t xml:space="preserve"> </w:t>
      </w:r>
      <w:r w:rsidR="00F3334B" w:rsidRPr="00F3334B">
        <w:t xml:space="preserve">Ratings of </w:t>
      </w:r>
      <w:r w:rsidR="00F3334B">
        <w:t>“U</w:t>
      </w:r>
      <w:r w:rsidR="00F3334B" w:rsidRPr="00F3334B">
        <w:t>nknown</w:t>
      </w:r>
      <w:r w:rsidR="00F3334B">
        <w:t>”</w:t>
      </w:r>
      <w:r w:rsidR="00F3334B" w:rsidRPr="00F3334B">
        <w:t xml:space="preserve"> for status and/or trend typically receive ratings of </w:t>
      </w:r>
      <w:r w:rsidR="00F3334B">
        <w:t>“L</w:t>
      </w:r>
      <w:r w:rsidR="00F3334B" w:rsidRPr="00F3334B">
        <w:t>ow</w:t>
      </w:r>
      <w:r w:rsidR="00F3334B">
        <w:t>”</w:t>
      </w:r>
      <w:r w:rsidR="00F3334B" w:rsidRPr="00F3334B">
        <w:t xml:space="preserve"> for confidence.</w:t>
      </w:r>
    </w:p>
    <w:p w:rsidR="00C65BE3" w:rsidRDefault="001C61B7" w:rsidP="00C65BE3">
      <w:pPr>
        <w:pStyle w:val="Heading2"/>
        <w:ind w:left="720" w:hanging="720"/>
      </w:pPr>
      <w:r>
        <w:t>Data Entry</w:t>
      </w:r>
    </w:p>
    <w:p w:rsidR="00C65BE3" w:rsidRDefault="001C61B7" w:rsidP="00C65BE3">
      <w:r>
        <w:t>The person or team preparing the status/trend table for an individual resource topic</w:t>
      </w:r>
      <w:r>
        <w:t xml:space="preserve"> will proceed through the following steps:</w:t>
      </w:r>
    </w:p>
    <w:p w:rsidR="001C61B7" w:rsidRDefault="001C61B7" w:rsidP="001C61B7">
      <w:pPr>
        <w:pStyle w:val="ListParagraph"/>
        <w:numPr>
          <w:ilvl w:val="0"/>
          <w:numId w:val="14"/>
        </w:numPr>
      </w:pPr>
      <w:r>
        <w:t>Rename the file to identify the resource topic being addressed, by inserting the correct information in the two places provided in the Master Template file name [</w:t>
      </w:r>
      <w:r w:rsidRPr="00C658A9">
        <w:rPr>
          <w:rFonts w:asciiTheme="minorHAnsi" w:hAnsiTheme="minorHAnsi"/>
          <w:b/>
        </w:rPr>
        <w:t>GCDAMP KA Tables v2 (insert impact topic name) (insert version date).</w:t>
      </w:r>
      <w:proofErr w:type="spellStart"/>
      <w:r w:rsidRPr="00C658A9">
        <w:rPr>
          <w:rFonts w:asciiTheme="minorHAnsi" w:hAnsiTheme="minorHAnsi"/>
          <w:b/>
        </w:rPr>
        <w:t>xlsx</w:t>
      </w:r>
      <w:proofErr w:type="spellEnd"/>
      <w:r>
        <w:t>].</w:t>
      </w:r>
    </w:p>
    <w:p w:rsidR="00C658A9" w:rsidRDefault="00C658A9" w:rsidP="001C61B7">
      <w:pPr>
        <w:pStyle w:val="ListParagraph"/>
        <w:numPr>
          <w:ilvl w:val="0"/>
          <w:numId w:val="14"/>
        </w:numPr>
      </w:pPr>
      <w:r>
        <w:t xml:space="preserve">Insert </w:t>
      </w:r>
      <w:r>
        <w:t>in Row 2</w:t>
      </w:r>
      <w:r>
        <w:t xml:space="preserve"> the name of the resource topic being addressed, by selecting the appropriate name from the provided drop-down list.</w:t>
      </w:r>
      <w:r w:rsidR="002334A6">
        <w:t xml:space="preserve"> </w:t>
      </w:r>
      <w:r w:rsidR="002334A6">
        <w:t xml:space="preserve">The definitions for the </w:t>
      </w:r>
      <w:r w:rsidR="002334A6">
        <w:t>Resource Topic entries</w:t>
      </w:r>
      <w:r w:rsidR="002334A6">
        <w:t xml:space="preserve"> are provided in the ‘Topic &amp; Action Labels’ worksheet (tab).</w:t>
      </w:r>
    </w:p>
    <w:p w:rsidR="00C658A9" w:rsidRDefault="00C658A9" w:rsidP="001C61B7">
      <w:pPr>
        <w:pStyle w:val="ListParagraph"/>
        <w:numPr>
          <w:ilvl w:val="0"/>
          <w:numId w:val="14"/>
        </w:numPr>
      </w:pPr>
      <w:r>
        <w:t>Enter the information in Rows 3 and 4 for the names of the table preparer(s) and the preparation date.</w:t>
      </w:r>
    </w:p>
    <w:p w:rsidR="00C658A9" w:rsidRDefault="000955DD" w:rsidP="001C61B7">
      <w:pPr>
        <w:pStyle w:val="ListParagraph"/>
        <w:numPr>
          <w:ilvl w:val="0"/>
          <w:numId w:val="14"/>
        </w:numPr>
      </w:pPr>
      <w:r w:rsidRPr="000955DD">
        <w:t xml:space="preserve">Enter </w:t>
      </w:r>
      <w:r>
        <w:t xml:space="preserve">the requested </w:t>
      </w:r>
      <w:r w:rsidRPr="000955DD">
        <w:t xml:space="preserve">information in Rows 7 onward for </w:t>
      </w:r>
      <w:r w:rsidRPr="000955DD">
        <w:t>each technical measure</w:t>
      </w:r>
      <w:r w:rsidRPr="000955DD">
        <w:t>, for each resource characteristic of interes</w:t>
      </w:r>
      <w:r>
        <w:t>t. The values for Status, Trend, and Confidence are entered by selecting the appropriate value from the provided drop-down lists. The definitions for the values in these lists are provided in the ‘Scoring Values’ worksheet (tab).</w:t>
      </w:r>
    </w:p>
    <w:p w:rsidR="00B50917" w:rsidRPr="000955DD" w:rsidRDefault="00B50917" w:rsidP="00B50917">
      <w:pPr>
        <w:pStyle w:val="ListParagraph"/>
        <w:numPr>
          <w:ilvl w:val="0"/>
          <w:numId w:val="14"/>
        </w:numPr>
      </w:pPr>
      <w:r>
        <w:t>See below for instructions on Reporting Rationales and Reporting Recommendations.</w:t>
      </w:r>
    </w:p>
    <w:bookmarkEnd w:id="4"/>
    <w:p w:rsidR="00C25C62" w:rsidRDefault="006A4539" w:rsidP="00C25C62">
      <w:pPr>
        <w:pStyle w:val="Heading1"/>
      </w:pPr>
      <w:r>
        <w:t>Assessing</w:t>
      </w:r>
      <w:r w:rsidR="00C25C62">
        <w:t xml:space="preserve"> Drivers</w:t>
      </w:r>
      <w:r>
        <w:t xml:space="preserve"> and</w:t>
      </w:r>
      <w:r w:rsidR="00C25C62">
        <w:t xml:space="preserve"> Constraints</w:t>
      </w:r>
    </w:p>
    <w:p w:rsidR="00B454B6" w:rsidRDefault="00D47218" w:rsidP="00C25C62">
      <w:r>
        <w:t>Drivers and constraints</w:t>
      </w:r>
      <w:r w:rsidRPr="00D47218">
        <w:t xml:space="preserve"> consist of environmental conditions and dynamics – including human actions – that determine the quality, abundance, spatial </w:t>
      </w:r>
      <w:r w:rsidR="00C212A3">
        <w:t>or</w:t>
      </w:r>
      <w:r w:rsidRPr="00D47218">
        <w:t xml:space="preserve"> temporal distribution</w:t>
      </w:r>
      <w:r w:rsidR="00C212A3">
        <w:t xml:space="preserve">, or other </w:t>
      </w:r>
      <w:r w:rsidR="006A4539">
        <w:t>characteristics of some condition</w:t>
      </w:r>
      <w:r w:rsidRPr="00D47218">
        <w:t>.</w:t>
      </w:r>
      <w:r>
        <w:t xml:space="preserve"> </w:t>
      </w:r>
      <w:r w:rsidR="00A65A48" w:rsidRPr="00A65A48">
        <w:t xml:space="preserve">A causal relationship exists </w:t>
      </w:r>
      <w:r w:rsidR="00A65A48">
        <w:t xml:space="preserve">between a driver or constraint and some </w:t>
      </w:r>
      <w:r w:rsidR="00F05120">
        <w:t>characteristics</w:t>
      </w:r>
      <w:r w:rsidR="00A65A48">
        <w:t xml:space="preserve"> of a </w:t>
      </w:r>
      <w:r w:rsidR="00F05120">
        <w:t>condition</w:t>
      </w:r>
      <w:r w:rsidR="00A65A48">
        <w:t xml:space="preserve"> </w:t>
      </w:r>
      <w:r w:rsidR="00A65A48" w:rsidRPr="00A65A48">
        <w:t xml:space="preserve">when a change in </w:t>
      </w:r>
      <w:r w:rsidR="00A65A48">
        <w:t xml:space="preserve">the driver or constraint </w:t>
      </w:r>
      <w:r w:rsidR="00A65A48" w:rsidRPr="00A65A48">
        <w:t xml:space="preserve">results in a change in </w:t>
      </w:r>
      <w:r w:rsidR="00A65A48">
        <w:t xml:space="preserve">the </w:t>
      </w:r>
      <w:r w:rsidR="00F05120">
        <w:t>characteristic</w:t>
      </w:r>
      <w:r w:rsidR="00A65A48">
        <w:t xml:space="preserve">. </w:t>
      </w:r>
      <w:r w:rsidR="00A65A48" w:rsidRPr="00A65A48">
        <w:t xml:space="preserve">Change in the </w:t>
      </w:r>
      <w:r w:rsidR="00A65A48">
        <w:t>driver or constraint</w:t>
      </w:r>
      <w:r w:rsidR="00A65A48" w:rsidRPr="00A65A48">
        <w:t xml:space="preserve"> is said to cause change in the </w:t>
      </w:r>
      <w:r w:rsidR="00F05120">
        <w:t>characteristic</w:t>
      </w:r>
      <w:r w:rsidR="00B454B6">
        <w:t>.</w:t>
      </w:r>
    </w:p>
    <w:p w:rsidR="00F05120" w:rsidRDefault="00F05120" w:rsidP="00F05120">
      <w:r>
        <w:lastRenderedPageBreak/>
        <w:t>GCDAMP management actions also constitute potential drivers of conditions in the Colorado River ecosystem. However, the present Knowledge Assessment addresses the effects of management actions separately, as discussed later in this guidance document.</w:t>
      </w:r>
    </w:p>
    <w:p w:rsidR="00D80174" w:rsidRDefault="00D80174" w:rsidP="00D80174">
      <w:r>
        <w:t xml:space="preserve">The GCDAMP knowledge assessment of drivers and constraints for each </w:t>
      </w:r>
      <w:r w:rsidR="00532210">
        <w:t>resource</w:t>
      </w:r>
      <w:r>
        <w:t xml:space="preserve"> topic again uses a standard table, an image of which is shown below (</w:t>
      </w:r>
      <w:r w:rsidRPr="00D6009B">
        <w:rPr>
          <w:i/>
        </w:rPr>
        <w:t>not shown actual size</w:t>
      </w:r>
      <w:r w:rsidR="00D1345A">
        <w:t>)</w:t>
      </w:r>
      <w:r>
        <w:t xml:space="preserve">. A separate spreadsheet again provides the actual (blank) table template. The methodology for the review of </w:t>
      </w:r>
      <w:r w:rsidR="007162AC">
        <w:t xml:space="preserve">potential </w:t>
      </w:r>
      <w:r>
        <w:t>drivers and constraints is adapted from the logic of the National Park Service for its Natural Resources Condition Assessments (</w:t>
      </w:r>
      <w:hyperlink r:id="rId13" w:history="1">
        <w:r w:rsidRPr="00D849E0">
          <w:rPr>
            <w:rStyle w:val="Hyperlink"/>
          </w:rPr>
          <w:t>http://www.nature.nps.gov/water/nrca/</w:t>
        </w:r>
      </w:hyperlink>
      <w:r>
        <w:t xml:space="preserve">) (NPS 2014), with </w:t>
      </w:r>
      <w:r w:rsidR="004E7FE0">
        <w:t>critical</w:t>
      </w:r>
      <w:r>
        <w:t xml:space="preserve"> additions adapted from </w:t>
      </w:r>
      <w:r w:rsidR="000345B0">
        <w:t xml:space="preserve">the </w:t>
      </w:r>
      <w:r w:rsidR="008F7903" w:rsidRPr="005026C2">
        <w:t>Sac</w:t>
      </w:r>
      <w:r w:rsidR="008F7903">
        <w:t>ramento-San Joaquin Delta </w:t>
      </w:r>
      <w:r w:rsidR="008F7903" w:rsidRPr="005026C2">
        <w:t>Ecosystem Restoration Program (</w:t>
      </w:r>
      <w:hyperlink r:id="rId14" w:history="1">
        <w:r w:rsidR="008F7903" w:rsidRPr="001D2FD6">
          <w:rPr>
            <w:rStyle w:val="Hyperlink"/>
            <w:rFonts w:eastAsia="Calibri"/>
          </w:rPr>
          <w:t>https://www.dfg.ca.gov/ERP/ conceptual_models.asp</w:t>
        </w:r>
      </w:hyperlink>
      <w:r w:rsidR="008F7903">
        <w:t>) (</w:t>
      </w:r>
      <w:proofErr w:type="spellStart"/>
      <w:r w:rsidR="008F7903">
        <w:t>D</w:t>
      </w:r>
      <w:r w:rsidR="008F7903" w:rsidRPr="00C35198">
        <w:t>iGennaro</w:t>
      </w:r>
      <w:proofErr w:type="spellEnd"/>
      <w:r w:rsidR="008F7903" w:rsidRPr="00C35198">
        <w:t xml:space="preserve"> et al. 2012</w:t>
      </w:r>
      <w:r w:rsidR="008F7903">
        <w:t>).</w:t>
      </w:r>
    </w:p>
    <w:p w:rsidR="00D80174" w:rsidRDefault="000E1D54" w:rsidP="00C25C62">
      <w:r w:rsidRPr="000E1D54">
        <w:drawing>
          <wp:inline distT="0" distB="0" distL="0" distR="0" wp14:anchorId="6F830629" wp14:editId="10904F94">
            <wp:extent cx="8595360" cy="897219"/>
            <wp:effectExtent l="19050" t="19050" r="1524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5360" cy="897219"/>
                    </a:xfrm>
                    <a:prstGeom prst="rect">
                      <a:avLst/>
                    </a:prstGeom>
                    <a:noFill/>
                    <a:ln w="3175">
                      <a:solidFill>
                        <a:schemeClr val="tx1"/>
                      </a:solidFill>
                    </a:ln>
                  </pic:spPr>
                </pic:pic>
              </a:graphicData>
            </a:graphic>
          </wp:inline>
        </w:drawing>
      </w:r>
    </w:p>
    <w:p w:rsidR="00532210" w:rsidRDefault="008B0359" w:rsidP="006703CD">
      <w:r>
        <w:t xml:space="preserve">The </w:t>
      </w:r>
      <w:r w:rsidR="007D3186">
        <w:t xml:space="preserve">drivers/constraints </w:t>
      </w:r>
      <w:r>
        <w:t xml:space="preserve">table recognizes that GCDAMP investigators typically </w:t>
      </w:r>
      <w:r w:rsidR="00D92A41">
        <w:t xml:space="preserve">recognize multiple drivers and constraints, which they </w:t>
      </w:r>
      <w:r w:rsidR="00F80CE9">
        <w:t>estimate (hypothesize) may significantly affect status and trends for</w:t>
      </w:r>
      <w:r>
        <w:t xml:space="preserve"> each </w:t>
      </w:r>
      <w:r w:rsidR="00532210">
        <w:t>resource</w:t>
      </w:r>
      <w:r>
        <w:t xml:space="preserve"> topic. The person or team preparing the </w:t>
      </w:r>
      <w:r w:rsidR="00F80CE9">
        <w:t xml:space="preserve">“drivers and constraints” </w:t>
      </w:r>
      <w:r>
        <w:t xml:space="preserve">table for an individual </w:t>
      </w:r>
      <w:r w:rsidR="00532210">
        <w:t>resource</w:t>
      </w:r>
      <w:r>
        <w:t xml:space="preserve"> topic must </w:t>
      </w:r>
      <w:r w:rsidR="00F80CE9">
        <w:t>first list all of the drivers and constraints of potential interest</w:t>
      </w:r>
      <w:r w:rsidR="00F82212">
        <w:t xml:space="preserve">. </w:t>
      </w:r>
      <w:r w:rsidR="00E92C99">
        <w:t xml:space="preserve">For example, the assessment of sediment storage described in the current (FY15-17) Triennial Work Plan recognizes needs to understand the effects of sediments inputs from the </w:t>
      </w:r>
      <w:proofErr w:type="spellStart"/>
      <w:r w:rsidR="00E92C99">
        <w:t>Paria</w:t>
      </w:r>
      <w:proofErr w:type="spellEnd"/>
      <w:r w:rsidR="00E92C99">
        <w:t xml:space="preserve"> and Little Colorado Rivers as well as minor tributaries, the effects of channel macro- and </w:t>
      </w:r>
      <w:proofErr w:type="spellStart"/>
      <w:r w:rsidR="00E92C99">
        <w:t>meso</w:t>
      </w:r>
      <w:proofErr w:type="spellEnd"/>
      <w:r w:rsidR="00E92C99">
        <w:t xml:space="preserve">-scale geometry on sediment storage and transport, and the effects of submerged vegetation on </w:t>
      </w:r>
      <w:r w:rsidR="007D3186">
        <w:t>the output from various methods for mapping river bed composition.</w:t>
      </w:r>
      <w:r w:rsidR="00D1345A">
        <w:t xml:space="preserve"> Similarly, studies of the aquatic food base indicate that overall productivity can vary </w:t>
      </w:r>
      <w:r w:rsidR="00C74E57">
        <w:t>in response to variation in water temperature, chemical composition</w:t>
      </w:r>
      <w:r w:rsidR="00E34DD3">
        <w:t>, and turbidity</w:t>
      </w:r>
      <w:r w:rsidR="00C74E57">
        <w:t xml:space="preserve">; the duration of sunlight hitting the channel; </w:t>
      </w:r>
      <w:r w:rsidR="00E34DD3">
        <w:t xml:space="preserve">and variation in </w:t>
      </w:r>
      <w:r w:rsidR="00C74E57">
        <w:t>flow velocity</w:t>
      </w:r>
      <w:r w:rsidR="00E34DD3">
        <w:t xml:space="preserve"> and stage and their consequences for</w:t>
      </w:r>
      <w:r w:rsidR="00C74E57">
        <w:t xml:space="preserve"> the timing and duration of exposure of channel substrate</w:t>
      </w:r>
      <w:r w:rsidR="00E34DD3">
        <w:t xml:space="preserve">s. Each of these drivers or constraints in turn may be shaped by additional drivers or constraints. For example, water temperature varies with conditions in </w:t>
      </w:r>
      <w:r w:rsidR="008031F7">
        <w:t xml:space="preserve">the Glen Canyon Dam </w:t>
      </w:r>
      <w:proofErr w:type="spellStart"/>
      <w:r w:rsidR="008031F7">
        <w:t>forebay</w:t>
      </w:r>
      <w:proofErr w:type="spellEnd"/>
      <w:r w:rsidR="008031F7">
        <w:t xml:space="preserve">, dam </w:t>
      </w:r>
      <w:r w:rsidR="00E34DD3">
        <w:t xml:space="preserve">operations, </w:t>
      </w:r>
      <w:r w:rsidR="008031F7">
        <w:t xml:space="preserve">and air temperature. Turbidity varies with </w:t>
      </w:r>
      <w:r w:rsidR="00A3547D">
        <w:t xml:space="preserve">mineral precipitation and transport along the Little Colorado River and </w:t>
      </w:r>
      <w:r w:rsidR="008031F7">
        <w:t>suspended sediment transport</w:t>
      </w:r>
      <w:r w:rsidR="00A3547D">
        <w:t xml:space="preserve"> along both the Little Colorado and </w:t>
      </w:r>
      <w:proofErr w:type="spellStart"/>
      <w:r w:rsidR="00A3547D">
        <w:t>mainstem</w:t>
      </w:r>
      <w:proofErr w:type="spellEnd"/>
      <w:r w:rsidR="00A3547D">
        <w:t xml:space="preserve"> Colorado Rivers</w:t>
      </w:r>
      <w:r w:rsidR="008031F7">
        <w:t xml:space="preserve">, </w:t>
      </w:r>
      <w:r w:rsidR="00A3547D">
        <w:t xml:space="preserve">where it </w:t>
      </w:r>
      <w:r w:rsidR="008031F7">
        <w:t xml:space="preserve">varies with sediment storage, sediment inputs, and river discharge. The duration of sunlight hitting the channel varies with cloud cover, season, and several aspects of canyon geometry. </w:t>
      </w:r>
      <w:r w:rsidR="00A3547D">
        <w:t xml:space="preserve">The person or team preparing the drivers/constraints table must decide which drivers or constraints to include in the </w:t>
      </w:r>
      <w:proofErr w:type="gramStart"/>
      <w:r w:rsidR="00A3547D">
        <w:t>table,</w:t>
      </w:r>
      <w:proofErr w:type="gramEnd"/>
      <w:r w:rsidR="00A3547D">
        <w:t xml:space="preserve"> based on those drivers or constraints identified by the</w:t>
      </w:r>
      <w:r w:rsidR="00117494">
        <w:t xml:space="preserve"> literature and investigators as important for consideration by the GCDAMP.</w:t>
      </w:r>
    </w:p>
    <w:p w:rsidR="006703CD" w:rsidRPr="007063B6" w:rsidRDefault="00F82212" w:rsidP="006703CD">
      <w:r>
        <w:t xml:space="preserve">The person or team preparing the </w:t>
      </w:r>
      <w:r w:rsidR="007D3186">
        <w:t xml:space="preserve">drivers/constraints </w:t>
      </w:r>
      <w:r>
        <w:t xml:space="preserve">table must then </w:t>
      </w:r>
      <w:r w:rsidR="008B0359">
        <w:t xml:space="preserve">assess </w:t>
      </w:r>
      <w:r>
        <w:t xml:space="preserve">each hypothesized driver or constraint </w:t>
      </w:r>
      <w:r w:rsidR="008B0359">
        <w:t>on three dimensions</w:t>
      </w:r>
      <w:r>
        <w:t>:</w:t>
      </w:r>
      <w:r w:rsidR="008B0359">
        <w:t xml:space="preserve"> </w:t>
      </w:r>
      <w:r>
        <w:t xml:space="preserve">the hypothesized strength of the effect that the driver or constraint has on some </w:t>
      </w:r>
      <w:r w:rsidR="008B0359">
        <w:t>characteristic, condition, or variable</w:t>
      </w:r>
      <w:r>
        <w:t xml:space="preserve"> of interest</w:t>
      </w:r>
      <w:r w:rsidR="008B0359">
        <w:t xml:space="preserve">; </w:t>
      </w:r>
      <w:r>
        <w:t>the hypothesized direction of this effect;</w:t>
      </w:r>
      <w:r w:rsidR="008B0359">
        <w:t xml:space="preserve"> and confidence in the</w:t>
      </w:r>
      <w:r>
        <w:t>se</w:t>
      </w:r>
      <w:r w:rsidR="008B0359">
        <w:t xml:space="preserve"> assessments. The person or team preparing the </w:t>
      </w:r>
      <w:r w:rsidR="007D3186">
        <w:t xml:space="preserve">drivers/constraints </w:t>
      </w:r>
      <w:r w:rsidR="008B0359">
        <w:t xml:space="preserve">table for an individual </w:t>
      </w:r>
      <w:r w:rsidR="00532210">
        <w:t>resource</w:t>
      </w:r>
      <w:r w:rsidR="008B0359">
        <w:t xml:space="preserve"> topic also must provide brief rationale for the resulting ratings; and may also offer recommendations for monitoring and research </w:t>
      </w:r>
      <w:r w:rsidR="00851A50">
        <w:t>to address crucial gaps in knowledge</w:t>
      </w:r>
      <w:r w:rsidR="008B0359">
        <w:t xml:space="preserve">. The definitions and rating levels for assessing </w:t>
      </w:r>
      <w:r w:rsidR="00851A50">
        <w:t>strength</w:t>
      </w:r>
      <w:r w:rsidR="008B0359">
        <w:t xml:space="preserve">, </w:t>
      </w:r>
      <w:r w:rsidR="00851A50">
        <w:t>direction</w:t>
      </w:r>
      <w:r w:rsidR="008B0359">
        <w:t>, and confidence are as follows.</w:t>
      </w:r>
    </w:p>
    <w:p w:rsidR="00361537" w:rsidRDefault="000554AE" w:rsidP="00361537">
      <w:pPr>
        <w:pStyle w:val="Heading2"/>
      </w:pPr>
      <w:r>
        <w:lastRenderedPageBreak/>
        <w:t>Strength</w:t>
      </w:r>
      <w:r w:rsidR="005C2A3B">
        <w:t xml:space="preserve"> of Effect</w:t>
      </w:r>
      <w:r>
        <w:t xml:space="preserve"> </w:t>
      </w:r>
      <w:r w:rsidR="005C2A3B">
        <w:t>(Rating Definitions)</w:t>
      </w:r>
    </w:p>
    <w:p w:rsidR="00F81D12" w:rsidRDefault="00F81D12" w:rsidP="00AF734A">
      <w:pPr>
        <w:pStyle w:val="ListParagraph"/>
        <w:numPr>
          <w:ilvl w:val="0"/>
          <w:numId w:val="5"/>
        </w:numPr>
      </w:pPr>
      <w:bookmarkStart w:id="5" w:name="OLE_LINK4"/>
      <w:r>
        <w:rPr>
          <w:u w:val="single"/>
        </w:rPr>
        <w:t>Strong</w:t>
      </w:r>
      <w:r>
        <w:t xml:space="preserve">: </w:t>
      </w:r>
      <w:r w:rsidR="00AF734A" w:rsidRPr="00AF734A">
        <w:t xml:space="preserve">Even a relatively small change in the </w:t>
      </w:r>
      <w:r w:rsidR="00AF734A">
        <w:t>driver or constraint</w:t>
      </w:r>
      <w:r w:rsidR="00AF734A" w:rsidRPr="00AF734A">
        <w:t xml:space="preserve"> </w:t>
      </w:r>
      <w:r w:rsidR="00235D09">
        <w:t>o</w:t>
      </w:r>
      <w:r w:rsidR="00567C1B">
        <w:t>f</w:t>
      </w:r>
      <w:r w:rsidR="00235D09">
        <w:t xml:space="preserve"> interest </w:t>
      </w:r>
      <w:r w:rsidR="00AF734A" w:rsidRPr="00AF734A">
        <w:t xml:space="preserve">will result in a relatively large change in the affected </w:t>
      </w:r>
      <w:r w:rsidR="005C2A3B">
        <w:t>condition</w:t>
      </w:r>
      <w:r w:rsidR="00AF734A">
        <w:t xml:space="preserve">, and this </w:t>
      </w:r>
      <w:r w:rsidR="00885428">
        <w:t xml:space="preserve">cause-effect </w:t>
      </w:r>
      <w:r w:rsidR="00AF734A">
        <w:t xml:space="preserve">relationship is not significantly </w:t>
      </w:r>
      <w:r w:rsidR="0089241C">
        <w:t>subject to</w:t>
      </w:r>
      <w:r w:rsidR="00AF734A" w:rsidRPr="00AF734A">
        <w:t xml:space="preserve"> random variation or </w:t>
      </w:r>
      <w:r w:rsidR="0089241C">
        <w:t xml:space="preserve">affected </w:t>
      </w:r>
      <w:r w:rsidR="00AF734A" w:rsidRPr="00AF734A">
        <w:t>by variability in other factors.</w:t>
      </w:r>
    </w:p>
    <w:p w:rsidR="00BE1843" w:rsidRDefault="0089241C" w:rsidP="00327DA2">
      <w:pPr>
        <w:pStyle w:val="ListParagraph"/>
        <w:numPr>
          <w:ilvl w:val="0"/>
          <w:numId w:val="5"/>
        </w:numPr>
      </w:pPr>
      <w:r w:rsidRPr="00235D09">
        <w:rPr>
          <w:u w:val="single"/>
        </w:rPr>
        <w:t>Moderate</w:t>
      </w:r>
      <w:r w:rsidRPr="0089241C">
        <w:t>:</w:t>
      </w:r>
      <w:r>
        <w:t xml:space="preserve"> </w:t>
      </w:r>
      <w:r w:rsidR="00235D09">
        <w:t>The driver or constraint</w:t>
      </w:r>
      <w:r w:rsidR="00235D09" w:rsidRPr="00AF734A">
        <w:t xml:space="preserve"> </w:t>
      </w:r>
      <w:r w:rsidR="00235D09">
        <w:t xml:space="preserve">of interest must </w:t>
      </w:r>
      <w:r w:rsidR="00722919">
        <w:t>undergo</w:t>
      </w:r>
      <w:r w:rsidR="00235D09">
        <w:t xml:space="preserve"> a </w:t>
      </w:r>
      <w:r w:rsidR="003750FA">
        <w:t xml:space="preserve">relatively </w:t>
      </w:r>
      <w:r w:rsidR="00235D09">
        <w:t xml:space="preserve">large change </w:t>
      </w:r>
      <w:r w:rsidR="00722919">
        <w:t xml:space="preserve">in order </w:t>
      </w:r>
      <w:r w:rsidR="00235D09">
        <w:t xml:space="preserve">to cause </w:t>
      </w:r>
      <w:r w:rsidR="00235D09" w:rsidRPr="00AF734A">
        <w:t>a relatively large change</w:t>
      </w:r>
      <w:r w:rsidR="00235D09">
        <w:t xml:space="preserve"> </w:t>
      </w:r>
      <w:r w:rsidR="00235D09" w:rsidRPr="00AF734A">
        <w:t xml:space="preserve">in the affected </w:t>
      </w:r>
      <w:r w:rsidR="005C2A3B">
        <w:t>condition</w:t>
      </w:r>
      <w:r w:rsidR="00235D09">
        <w:t xml:space="preserve">; and/or </w:t>
      </w:r>
      <w:r w:rsidR="002C2BEF">
        <w:t>this</w:t>
      </w:r>
      <w:r w:rsidR="002C2BEF" w:rsidRPr="002C2BEF">
        <w:t xml:space="preserve"> </w:t>
      </w:r>
      <w:r w:rsidR="002C2BEF">
        <w:t>cause-effect</w:t>
      </w:r>
      <w:r w:rsidR="00235D09">
        <w:t xml:space="preserve"> relationship is subject to</w:t>
      </w:r>
      <w:r w:rsidR="00235D09" w:rsidRPr="00AF734A">
        <w:t xml:space="preserve"> </w:t>
      </w:r>
      <w:r w:rsidR="00567C1B">
        <w:t>moderate</w:t>
      </w:r>
      <w:r w:rsidR="00235D09" w:rsidRPr="00AF734A">
        <w:t xml:space="preserve"> </w:t>
      </w:r>
      <w:r w:rsidR="00567C1B">
        <w:t xml:space="preserve">random </w:t>
      </w:r>
      <w:r w:rsidR="00235D09" w:rsidRPr="00AF734A">
        <w:t xml:space="preserve">variation or </w:t>
      </w:r>
      <w:r w:rsidR="00235D09">
        <w:t xml:space="preserve">is </w:t>
      </w:r>
      <w:r w:rsidR="003750FA">
        <w:t xml:space="preserve">moderately </w:t>
      </w:r>
      <w:r w:rsidR="00235D09">
        <w:t xml:space="preserve">affected </w:t>
      </w:r>
      <w:r w:rsidR="00235D09" w:rsidRPr="00AF734A">
        <w:t>by variability in other factors.</w:t>
      </w:r>
    </w:p>
    <w:p w:rsidR="003750FA" w:rsidRDefault="003750FA" w:rsidP="00327DA2">
      <w:pPr>
        <w:pStyle w:val="ListParagraph"/>
        <w:numPr>
          <w:ilvl w:val="0"/>
          <w:numId w:val="5"/>
        </w:numPr>
      </w:pPr>
      <w:r>
        <w:rPr>
          <w:u w:val="single"/>
        </w:rPr>
        <w:t>Weak</w:t>
      </w:r>
      <w:r w:rsidRPr="003750FA">
        <w:t>:</w:t>
      </w:r>
      <w:r>
        <w:t xml:space="preserve"> Even a relatively large change </w:t>
      </w:r>
      <w:r w:rsidRPr="00AF734A">
        <w:t xml:space="preserve">in the </w:t>
      </w:r>
      <w:r>
        <w:t>driver or constraint</w:t>
      </w:r>
      <w:r w:rsidRPr="00AF734A">
        <w:t xml:space="preserve"> </w:t>
      </w:r>
      <w:r>
        <w:t>o</w:t>
      </w:r>
      <w:r w:rsidR="00A211F8">
        <w:t>f</w:t>
      </w:r>
      <w:r>
        <w:t xml:space="preserve"> interest </w:t>
      </w:r>
      <w:r w:rsidRPr="00AF734A">
        <w:t xml:space="preserve">will result in </w:t>
      </w:r>
      <w:r w:rsidR="007D3B8F">
        <w:t xml:space="preserve">only </w:t>
      </w:r>
      <w:r w:rsidRPr="00AF734A">
        <w:t xml:space="preserve">a relatively </w:t>
      </w:r>
      <w:r>
        <w:t>small</w:t>
      </w:r>
      <w:r w:rsidRPr="00AF734A">
        <w:t xml:space="preserve"> change in the affected </w:t>
      </w:r>
      <w:r w:rsidR="005C2A3B">
        <w:t>condition</w:t>
      </w:r>
      <w:r>
        <w:t xml:space="preserve">; and/or </w:t>
      </w:r>
      <w:r w:rsidR="002C2BEF">
        <w:t>this</w:t>
      </w:r>
      <w:r w:rsidR="002C2BEF" w:rsidRPr="002C2BEF">
        <w:t xml:space="preserve"> </w:t>
      </w:r>
      <w:r w:rsidR="002C2BEF">
        <w:t>cause-effect</w:t>
      </w:r>
      <w:r>
        <w:t xml:space="preserve"> relationship is subject to</w:t>
      </w:r>
      <w:r w:rsidRPr="00AF734A">
        <w:t xml:space="preserve"> </w:t>
      </w:r>
      <w:r w:rsidR="00A211F8">
        <w:t xml:space="preserve">significant </w:t>
      </w:r>
      <w:r w:rsidRPr="00AF734A">
        <w:t xml:space="preserve">random variation or </w:t>
      </w:r>
      <w:r>
        <w:t xml:space="preserve">is strongly affected </w:t>
      </w:r>
      <w:r w:rsidRPr="00AF734A">
        <w:t>by variability in other factors.</w:t>
      </w:r>
    </w:p>
    <w:p w:rsidR="004C75E7" w:rsidRDefault="004C75E7" w:rsidP="00571C08">
      <w:pPr>
        <w:pStyle w:val="ListParagraph"/>
        <w:numPr>
          <w:ilvl w:val="0"/>
          <w:numId w:val="5"/>
        </w:numPr>
      </w:pPr>
      <w:r>
        <w:rPr>
          <w:u w:val="single"/>
        </w:rPr>
        <w:t>Unknown</w:t>
      </w:r>
      <w:r>
        <w:t xml:space="preserve">: </w:t>
      </w:r>
      <w:r w:rsidR="00814F6A">
        <w:t>There is not s</w:t>
      </w:r>
      <w:r w:rsidR="00814F6A" w:rsidRPr="00507EB5">
        <w:t>ufficient information</w:t>
      </w:r>
      <w:r w:rsidR="00571C08" w:rsidRPr="00571C08">
        <w:t xml:space="preserve">, with which to evaluate the strength of the cause-effect relationship, even though there is sufficient information </w:t>
      </w:r>
      <w:r w:rsidR="00814F6A">
        <w:t>to support a hypothesis</w:t>
      </w:r>
      <w:r w:rsidR="00571C08" w:rsidRPr="00571C08">
        <w:t xml:space="preserve"> that at least some type of cause-effect relationship may exist. This rating typically would </w:t>
      </w:r>
      <w:r w:rsidR="00814F6A">
        <w:t>call for</w:t>
      </w:r>
      <w:r w:rsidR="00571C08" w:rsidRPr="00571C08">
        <w:t xml:space="preserve"> ratings of </w:t>
      </w:r>
      <w:r w:rsidR="00571C08">
        <w:t>“U</w:t>
      </w:r>
      <w:r w:rsidR="00571C08" w:rsidRPr="00571C08">
        <w:t>nknown</w:t>
      </w:r>
      <w:r w:rsidR="00571C08">
        <w:t>”</w:t>
      </w:r>
      <w:r w:rsidR="00571C08" w:rsidRPr="00571C08">
        <w:t xml:space="preserve"> for the direction of effect and </w:t>
      </w:r>
      <w:r w:rsidR="00571C08">
        <w:t>“L</w:t>
      </w:r>
      <w:r w:rsidR="00571C08" w:rsidRPr="00571C08">
        <w:t>ow</w:t>
      </w:r>
      <w:r w:rsidR="00571C08">
        <w:t>”</w:t>
      </w:r>
      <w:r w:rsidR="00571C08" w:rsidRPr="00571C08">
        <w:t xml:space="preserve"> for confidence. However, in some cases it may be possible to estimate the direction but not the strength of an effect. In such cases the user must explain why it is possible to assess the direction but not </w:t>
      </w:r>
      <w:r w:rsidR="00331043">
        <w:t xml:space="preserve">the </w:t>
      </w:r>
      <w:r w:rsidR="00571C08" w:rsidRPr="00571C08">
        <w:t>strength of the effect.</w:t>
      </w:r>
    </w:p>
    <w:bookmarkEnd w:id="5"/>
    <w:p w:rsidR="00567C1B" w:rsidRDefault="005C2A3B" w:rsidP="00567C1B">
      <w:pPr>
        <w:pStyle w:val="Heading2"/>
      </w:pPr>
      <w:r>
        <w:t>Direction of Effect (Rating Definitions)</w:t>
      </w:r>
    </w:p>
    <w:p w:rsidR="00567C1B" w:rsidRDefault="00567C1B" w:rsidP="00567C1B">
      <w:pPr>
        <w:pStyle w:val="ListParagraph"/>
        <w:numPr>
          <w:ilvl w:val="0"/>
          <w:numId w:val="5"/>
        </w:numPr>
      </w:pPr>
      <w:bookmarkStart w:id="6" w:name="OLE_LINK5"/>
      <w:r>
        <w:rPr>
          <w:u w:val="single"/>
        </w:rPr>
        <w:t>Positive Effect</w:t>
      </w:r>
      <w:r>
        <w:t>: An increase in</w:t>
      </w:r>
      <w:r w:rsidR="009204F3">
        <w:t xml:space="preserve"> the magnitude, duration, </w:t>
      </w:r>
      <w:r w:rsidR="00331043">
        <w:t xml:space="preserve">frequency, </w:t>
      </w:r>
      <w:r w:rsidR="009204F3">
        <w:t xml:space="preserve">or spatial extent of the driver or constraint </w:t>
      </w:r>
      <w:r w:rsidR="00034CF1">
        <w:t xml:space="preserve">consistently </w:t>
      </w:r>
      <w:r w:rsidR="009204F3">
        <w:t xml:space="preserve">results in an increase in </w:t>
      </w:r>
      <w:r w:rsidR="009204F3" w:rsidRPr="00D47218">
        <w:t>quality, abundance, and</w:t>
      </w:r>
      <w:r w:rsidR="009204F3">
        <w:t>/or</w:t>
      </w:r>
      <w:r w:rsidR="009204F3" w:rsidRPr="00D47218">
        <w:t xml:space="preserve"> spatial and temporal distributions of </w:t>
      </w:r>
      <w:r w:rsidR="009204F3">
        <w:t xml:space="preserve">the </w:t>
      </w:r>
      <w:r w:rsidR="005C2A3B">
        <w:t>affected condition</w:t>
      </w:r>
      <w:r w:rsidR="009204F3">
        <w:t>.</w:t>
      </w:r>
      <w:r w:rsidR="00EB6DC1">
        <w:t xml:space="preserve"> Conversely, a decrease in the magnitude, duration, or spatial extent of the driver or constraint </w:t>
      </w:r>
      <w:r w:rsidR="00034CF1">
        <w:t xml:space="preserve">consistently </w:t>
      </w:r>
      <w:r w:rsidR="00EB6DC1">
        <w:t>results in a</w:t>
      </w:r>
      <w:r w:rsidR="0085796A">
        <w:t xml:space="preserve"> decrease</w:t>
      </w:r>
      <w:r w:rsidR="00EB6DC1">
        <w:t xml:space="preserve"> in </w:t>
      </w:r>
      <w:r w:rsidR="00EB6DC1" w:rsidRPr="00D47218">
        <w:t>quality, abundance, and</w:t>
      </w:r>
      <w:r w:rsidR="00EB6DC1">
        <w:t>/or</w:t>
      </w:r>
      <w:r w:rsidR="00EB6DC1" w:rsidRPr="00D47218">
        <w:t xml:space="preserve"> spatial and temporal distributions of </w:t>
      </w:r>
      <w:r w:rsidR="00EB6DC1">
        <w:t xml:space="preserve">the </w:t>
      </w:r>
      <w:r w:rsidR="002D7FAB">
        <w:t>affected condition</w:t>
      </w:r>
      <w:r w:rsidR="00EB6DC1">
        <w:t>.</w:t>
      </w:r>
    </w:p>
    <w:p w:rsidR="009204F3" w:rsidRDefault="00EB6DC1" w:rsidP="00567C1B">
      <w:pPr>
        <w:pStyle w:val="ListParagraph"/>
        <w:numPr>
          <w:ilvl w:val="0"/>
          <w:numId w:val="5"/>
        </w:numPr>
      </w:pPr>
      <w:r w:rsidRPr="00EB6DC1">
        <w:rPr>
          <w:u w:val="single"/>
        </w:rPr>
        <w:t>Negative Effect</w:t>
      </w:r>
      <w:r>
        <w:t xml:space="preserve">: </w:t>
      </w:r>
      <w:r w:rsidR="0085796A">
        <w:t xml:space="preserve">An increase in the magnitude, </w:t>
      </w:r>
      <w:r w:rsidR="00331043">
        <w:t>duration, frequency</w:t>
      </w:r>
      <w:r w:rsidR="0085796A">
        <w:t xml:space="preserve">, or spatial extent of the driver or constraint </w:t>
      </w:r>
      <w:r w:rsidR="00034CF1">
        <w:t xml:space="preserve">consistently </w:t>
      </w:r>
      <w:r w:rsidR="0085796A">
        <w:t xml:space="preserve">results in a decrease in </w:t>
      </w:r>
      <w:r w:rsidR="0085796A" w:rsidRPr="00D47218">
        <w:t>quality, abundance, and</w:t>
      </w:r>
      <w:r w:rsidR="0085796A">
        <w:t>/or</w:t>
      </w:r>
      <w:r w:rsidR="0085796A" w:rsidRPr="00D47218">
        <w:t xml:space="preserve"> spatial and temporal distributions of </w:t>
      </w:r>
      <w:r w:rsidR="0085796A">
        <w:t xml:space="preserve">the </w:t>
      </w:r>
      <w:r w:rsidR="002D7FAB">
        <w:t>affected condition</w:t>
      </w:r>
      <w:r w:rsidR="0085796A">
        <w:t xml:space="preserve">. Conversely, a decrease in the magnitude, duration, or spatial extent of the driver or constraint </w:t>
      </w:r>
      <w:r w:rsidR="00034CF1">
        <w:t xml:space="preserve">consistently </w:t>
      </w:r>
      <w:r w:rsidR="0085796A">
        <w:t xml:space="preserve">results in an increase in </w:t>
      </w:r>
      <w:r w:rsidR="0085796A" w:rsidRPr="00D47218">
        <w:t>quality, abundance, and</w:t>
      </w:r>
      <w:r w:rsidR="0085796A">
        <w:t>/or</w:t>
      </w:r>
      <w:r w:rsidR="0085796A" w:rsidRPr="00D47218">
        <w:t xml:space="preserve"> spatial and temporal distributions of </w:t>
      </w:r>
      <w:r w:rsidR="0085796A">
        <w:t xml:space="preserve">the </w:t>
      </w:r>
      <w:r w:rsidR="002D7FAB">
        <w:t>affected condition</w:t>
      </w:r>
      <w:r w:rsidR="0085796A">
        <w:t>.</w:t>
      </w:r>
    </w:p>
    <w:p w:rsidR="0085796A" w:rsidRDefault="0085796A" w:rsidP="0085796A">
      <w:pPr>
        <w:pStyle w:val="ListParagraph"/>
        <w:numPr>
          <w:ilvl w:val="0"/>
          <w:numId w:val="5"/>
        </w:numPr>
      </w:pPr>
      <w:r w:rsidRPr="0085796A">
        <w:rPr>
          <w:u w:val="single"/>
        </w:rPr>
        <w:t>No Effect</w:t>
      </w:r>
      <w:r>
        <w:t xml:space="preserve">: </w:t>
      </w:r>
      <w:r w:rsidR="00034CF1">
        <w:t xml:space="preserve">An increase or decrease in the magnitude, </w:t>
      </w:r>
      <w:r w:rsidR="00331043">
        <w:t>duration, frequency</w:t>
      </w:r>
      <w:r w:rsidR="00034CF1">
        <w:t xml:space="preserve">, or spatial extent of the driver or constraint does not consistently result in an increase or decrease in </w:t>
      </w:r>
      <w:r w:rsidR="00034CF1" w:rsidRPr="00D47218">
        <w:t>quality, abundance, and</w:t>
      </w:r>
      <w:r w:rsidR="00034CF1">
        <w:t>/or</w:t>
      </w:r>
      <w:r w:rsidR="00034CF1" w:rsidRPr="00D47218">
        <w:t xml:space="preserve"> spatial and temporal distributions of </w:t>
      </w:r>
      <w:r w:rsidR="00034CF1">
        <w:t xml:space="preserve">the </w:t>
      </w:r>
      <w:r w:rsidR="002D7FAB">
        <w:t>affected condition</w:t>
      </w:r>
      <w:r w:rsidR="00FA56DB">
        <w:t>.</w:t>
      </w:r>
    </w:p>
    <w:p w:rsidR="00FA56DB" w:rsidRDefault="00571C08" w:rsidP="00571C08">
      <w:pPr>
        <w:pStyle w:val="ListParagraph"/>
        <w:numPr>
          <w:ilvl w:val="0"/>
          <w:numId w:val="5"/>
        </w:numPr>
      </w:pPr>
      <w:r w:rsidRPr="0085796A">
        <w:rPr>
          <w:u w:val="single"/>
        </w:rPr>
        <w:t>Unknown</w:t>
      </w:r>
      <w:r w:rsidR="00FA56DB">
        <w:t xml:space="preserve">: </w:t>
      </w:r>
      <w:r w:rsidR="00C35A3B">
        <w:t>There is not s</w:t>
      </w:r>
      <w:r w:rsidR="00C35A3B" w:rsidRPr="00507EB5">
        <w:t>ufficient information</w:t>
      </w:r>
      <w:r w:rsidRPr="00571C08">
        <w:t>, with which to evaluate the direction of effect.</w:t>
      </w:r>
    </w:p>
    <w:bookmarkEnd w:id="6"/>
    <w:p w:rsidR="005C2A3B" w:rsidRDefault="005C2A3B" w:rsidP="005C2A3B">
      <w:pPr>
        <w:pStyle w:val="Heading2"/>
        <w:ind w:left="720" w:hanging="720"/>
      </w:pPr>
      <w:r>
        <w:t>Confidence (Rating Definitions)</w:t>
      </w:r>
    </w:p>
    <w:p w:rsidR="002D7FAB" w:rsidRDefault="002D7FAB" w:rsidP="002D7FAB">
      <w:pPr>
        <w:pStyle w:val="ListParagraph"/>
        <w:numPr>
          <w:ilvl w:val="0"/>
          <w:numId w:val="5"/>
        </w:numPr>
      </w:pPr>
      <w:bookmarkStart w:id="7" w:name="OLE_LINK6"/>
      <w:r w:rsidRPr="00D33C48">
        <w:rPr>
          <w:u w:val="single"/>
        </w:rPr>
        <w:t>High</w:t>
      </w:r>
      <w:r>
        <w:t>: Current u</w:t>
      </w:r>
      <w:r w:rsidRPr="00D33C48">
        <w:t xml:space="preserve">nderstanding of </w:t>
      </w:r>
      <w:r>
        <w:t xml:space="preserve">the </w:t>
      </w:r>
      <w:r w:rsidR="00792482">
        <w:t xml:space="preserve">proposed </w:t>
      </w:r>
      <w:r>
        <w:t>cause-effect relationship</w:t>
      </w:r>
      <w:r w:rsidRPr="00D33C48">
        <w:t xml:space="preserve"> is subject to little or no disagreement or uncertainty </w:t>
      </w:r>
      <w:r>
        <w:t xml:space="preserve">among investigators and </w:t>
      </w:r>
      <w:r w:rsidRPr="00D33C48">
        <w:t>in peer-reviewed studies</w:t>
      </w:r>
      <w:r>
        <w:t>; is supported by substantial, high-quality</w:t>
      </w:r>
      <w:r w:rsidR="008B0574">
        <w:t>, documented</w:t>
      </w:r>
      <w:r>
        <w:t xml:space="preserve"> expert knowledge and/or evidence and, where appropriate, by well-accepted statistical analyses; and is consistent with w</w:t>
      </w:r>
      <w:r w:rsidRPr="00D33C48">
        <w:t xml:space="preserve">ell-accepted principles </w:t>
      </w:r>
      <w:r>
        <w:t xml:space="preserve">in the relevant fields of knowledge </w:t>
      </w:r>
      <w:r w:rsidRPr="00D33C48">
        <w:t xml:space="preserve">and/or </w:t>
      </w:r>
      <w:r>
        <w:t xml:space="preserve">with </w:t>
      </w:r>
      <w:r w:rsidRPr="00D33C48">
        <w:t>studies in highly analogous systems.</w:t>
      </w:r>
    </w:p>
    <w:p w:rsidR="002D7FAB" w:rsidRDefault="002D7FAB" w:rsidP="002D7FAB">
      <w:pPr>
        <w:pStyle w:val="ListParagraph"/>
        <w:numPr>
          <w:ilvl w:val="0"/>
          <w:numId w:val="5"/>
        </w:numPr>
      </w:pPr>
      <w:r>
        <w:rPr>
          <w:u w:val="single"/>
        </w:rPr>
        <w:lastRenderedPageBreak/>
        <w:t>Medium</w:t>
      </w:r>
      <w:r w:rsidRPr="00791B46">
        <w:t>:</w:t>
      </w:r>
      <w:r>
        <w:t xml:space="preserve"> Current u</w:t>
      </w:r>
      <w:r w:rsidRPr="00D33C48">
        <w:t xml:space="preserve">nderstanding of </w:t>
      </w:r>
      <w:r>
        <w:t xml:space="preserve">the </w:t>
      </w:r>
      <w:r w:rsidR="00792482">
        <w:t xml:space="preserve">proposed </w:t>
      </w:r>
      <w:r>
        <w:t>cause-effect relationship</w:t>
      </w:r>
      <w:r w:rsidRPr="00D33C48">
        <w:t xml:space="preserve"> is subject to </w:t>
      </w:r>
      <w:r>
        <w:t>moderate</w:t>
      </w:r>
      <w:r w:rsidRPr="00D33C48">
        <w:t xml:space="preserve"> disagreement or uncertainty </w:t>
      </w:r>
      <w:r>
        <w:t xml:space="preserve">among investigators and among </w:t>
      </w:r>
      <w:r w:rsidRPr="00D33C48">
        <w:t>peer-reviewed studies</w:t>
      </w:r>
      <w:r>
        <w:t xml:space="preserve">; and is supported by some </w:t>
      </w:r>
      <w:r w:rsidR="008B0574">
        <w:t xml:space="preserve">documented </w:t>
      </w:r>
      <w:r>
        <w:t>expert knowledge and/or evidence and analyses</w:t>
      </w:r>
      <w:r w:rsidR="00E63EA0">
        <w:t>. The expert knowledge and/or evidence and analyses</w:t>
      </w:r>
      <w:r>
        <w:t xml:space="preserve"> may be limited or subject to methodological weaknesses</w:t>
      </w:r>
      <w:r w:rsidR="00E63EA0">
        <w:t xml:space="preserve">, </w:t>
      </w:r>
      <w:r>
        <w:t xml:space="preserve">but nevertheless may be 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p>
    <w:p w:rsidR="002D7FAB" w:rsidRDefault="002D7FAB" w:rsidP="00EE0AA7">
      <w:pPr>
        <w:pStyle w:val="ListParagraph"/>
        <w:numPr>
          <w:ilvl w:val="0"/>
          <w:numId w:val="5"/>
        </w:numPr>
      </w:pPr>
      <w:r>
        <w:rPr>
          <w:u w:val="single"/>
        </w:rPr>
        <w:t>Low</w:t>
      </w:r>
      <w:r w:rsidRPr="0027132C">
        <w:t>:</w:t>
      </w:r>
      <w:r>
        <w:t xml:space="preserve"> Current u</w:t>
      </w:r>
      <w:r w:rsidRPr="00D33C48">
        <w:t xml:space="preserve">nderstanding of </w:t>
      </w:r>
      <w:r>
        <w:t xml:space="preserve">the </w:t>
      </w:r>
      <w:r w:rsidR="00792482">
        <w:t xml:space="preserve">proposed </w:t>
      </w:r>
      <w:r>
        <w:t>cause-effect relationship</w:t>
      </w:r>
      <w:r w:rsidRPr="00D33C48">
        <w:t xml:space="preserve"> is subject to </w:t>
      </w:r>
      <w:r>
        <w:t>substantial</w:t>
      </w:r>
      <w:r w:rsidRPr="00D33C48">
        <w:t xml:space="preserve"> disagreement or uncertainty </w:t>
      </w:r>
      <w:r>
        <w:t xml:space="preserve">among investigators and among </w:t>
      </w:r>
      <w:r w:rsidRPr="00D33C48">
        <w:t>peer-reviewed studies</w:t>
      </w:r>
      <w:r>
        <w:t xml:space="preserve">; is supported by only limited </w:t>
      </w:r>
      <w:r w:rsidR="007E01E4">
        <w:t xml:space="preserve">or undocumented </w:t>
      </w:r>
      <w:r>
        <w:t xml:space="preserve">expert knowledge and/or evidence and analyses that may also be subject to methodological weaknesses; and may be inconsistent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r w:rsidR="00F3334B">
        <w:t xml:space="preserve"> </w:t>
      </w:r>
      <w:r w:rsidR="00F3334B" w:rsidRPr="00F3334B">
        <w:t xml:space="preserve">Ratings of </w:t>
      </w:r>
      <w:r w:rsidR="00F3334B">
        <w:t>“U</w:t>
      </w:r>
      <w:r w:rsidR="00F3334B" w:rsidRPr="00F3334B">
        <w:t>nknown</w:t>
      </w:r>
      <w:r w:rsidR="00F3334B">
        <w:t>”</w:t>
      </w:r>
      <w:r w:rsidR="00F3334B" w:rsidRPr="00F3334B">
        <w:t xml:space="preserve"> for the strength and/or direction of an effect typically receive ratings of </w:t>
      </w:r>
      <w:r w:rsidR="00F3334B">
        <w:t>“L</w:t>
      </w:r>
      <w:r w:rsidR="00F3334B" w:rsidRPr="00F3334B">
        <w:t>ow</w:t>
      </w:r>
      <w:r w:rsidR="00F3334B">
        <w:t>”</w:t>
      </w:r>
      <w:r w:rsidR="00F3334B" w:rsidRPr="00F3334B">
        <w:t xml:space="preserve"> for confidence.</w:t>
      </w:r>
    </w:p>
    <w:p w:rsidR="000E1D54" w:rsidRDefault="000E1D54" w:rsidP="000E1D54">
      <w:pPr>
        <w:pStyle w:val="Heading2"/>
        <w:ind w:left="720" w:hanging="720"/>
      </w:pPr>
      <w:r>
        <w:t>Data Entry</w:t>
      </w:r>
    </w:p>
    <w:p w:rsidR="000E1D54" w:rsidRDefault="000E1D54" w:rsidP="000E1D54">
      <w:r>
        <w:t xml:space="preserve">The person or team preparing the </w:t>
      </w:r>
      <w:r>
        <w:t>drivers/constraints</w:t>
      </w:r>
      <w:r>
        <w:t xml:space="preserve"> table for an individual resource topic will proceed through the following steps:</w:t>
      </w:r>
    </w:p>
    <w:p w:rsidR="000E1D54" w:rsidRDefault="000E1D54" w:rsidP="000E1D54">
      <w:pPr>
        <w:pStyle w:val="ListParagraph"/>
        <w:numPr>
          <w:ilvl w:val="0"/>
          <w:numId w:val="15"/>
        </w:numPr>
      </w:pPr>
      <w:r>
        <w:t xml:space="preserve">Check that </w:t>
      </w:r>
      <w:r>
        <w:t xml:space="preserve">the file </w:t>
      </w:r>
      <w:r>
        <w:t xml:space="preserve">name correctly identifies </w:t>
      </w:r>
      <w:r>
        <w:t>the resource topic being addressed</w:t>
      </w:r>
      <w:r>
        <w:t xml:space="preserve"> (see instruction #1 for status/trend tables, above).</w:t>
      </w:r>
    </w:p>
    <w:p w:rsidR="000E1D54" w:rsidRDefault="000E1D54" w:rsidP="000E1D54">
      <w:pPr>
        <w:pStyle w:val="ListParagraph"/>
        <w:numPr>
          <w:ilvl w:val="0"/>
          <w:numId w:val="15"/>
        </w:numPr>
      </w:pPr>
      <w:r>
        <w:t>Insert in Row 2 the name of the resource topic being addressed, by selecting the appropriate name from the provided drop-down list.</w:t>
      </w:r>
      <w:r w:rsidR="002334A6">
        <w:t xml:space="preserve"> </w:t>
      </w:r>
      <w:r w:rsidR="002334A6">
        <w:t>The definitions for the Resource Topic entries are provided in the ‘Topic &amp; Action Labels’ worksheet (tab).</w:t>
      </w:r>
    </w:p>
    <w:p w:rsidR="000E1D54" w:rsidRDefault="000E1D54" w:rsidP="000E1D54">
      <w:pPr>
        <w:pStyle w:val="ListParagraph"/>
        <w:numPr>
          <w:ilvl w:val="0"/>
          <w:numId w:val="15"/>
        </w:numPr>
      </w:pPr>
      <w:r>
        <w:t>Enter the information in Rows 3 and 4 for the names of the table preparer(s) and the preparation date.</w:t>
      </w:r>
    </w:p>
    <w:p w:rsidR="000E1D54" w:rsidRDefault="000E1D54" w:rsidP="000E1D54">
      <w:pPr>
        <w:pStyle w:val="ListParagraph"/>
        <w:numPr>
          <w:ilvl w:val="0"/>
          <w:numId w:val="15"/>
        </w:numPr>
      </w:pPr>
      <w:r w:rsidRPr="000955DD">
        <w:t xml:space="preserve">Enter </w:t>
      </w:r>
      <w:r>
        <w:t xml:space="preserve">the requested </w:t>
      </w:r>
      <w:r w:rsidRPr="000955DD">
        <w:t>information in Rows 7 onward for each resource characteristic of interes</w:t>
      </w:r>
      <w:r>
        <w:t xml:space="preserve">t. </w:t>
      </w:r>
      <w:r w:rsidR="00204603">
        <w:t xml:space="preserve">The person or team preparing the table </w:t>
      </w:r>
      <w:r w:rsidR="00C855E3">
        <w:t xml:space="preserve">is responsible for entering the </w:t>
      </w:r>
      <w:r w:rsidR="00C855E3">
        <w:t>names of the drivers and constraints</w:t>
      </w:r>
      <w:r w:rsidR="00C855E3">
        <w:t xml:space="preserve"> of interest.</w:t>
      </w:r>
      <w:r w:rsidR="00204603">
        <w:t xml:space="preserve"> </w:t>
      </w:r>
      <w:r>
        <w:t xml:space="preserve">The values for </w:t>
      </w:r>
      <w:r w:rsidR="00204603">
        <w:t>Strength</w:t>
      </w:r>
      <w:r>
        <w:t xml:space="preserve">, </w:t>
      </w:r>
      <w:r w:rsidR="00204603">
        <w:t>Direction</w:t>
      </w:r>
      <w:r>
        <w:t>, and Confidence are entered by selecting the appropriate value from the provided drop-down lists. The definitions for the values in these lists are provided in the ‘Scoring Values’ worksheet (tab).</w:t>
      </w:r>
    </w:p>
    <w:p w:rsidR="00B50917" w:rsidRPr="000955DD" w:rsidRDefault="00B50917" w:rsidP="00B50917">
      <w:pPr>
        <w:pStyle w:val="ListParagraph"/>
        <w:numPr>
          <w:ilvl w:val="0"/>
          <w:numId w:val="15"/>
        </w:numPr>
      </w:pPr>
      <w:r>
        <w:t>See below for instructions on Reporting Rationales and Reporting Recommendations.</w:t>
      </w:r>
    </w:p>
    <w:bookmarkEnd w:id="7"/>
    <w:p w:rsidR="00BF197A" w:rsidRDefault="002D7FAB" w:rsidP="00BF197A">
      <w:pPr>
        <w:pStyle w:val="Heading1"/>
      </w:pPr>
      <w:r>
        <w:t>Assessing Effects of</w:t>
      </w:r>
      <w:r w:rsidR="00BF197A">
        <w:t xml:space="preserve"> Management Actions</w:t>
      </w:r>
    </w:p>
    <w:p w:rsidR="001F68AC" w:rsidRDefault="00BF197A" w:rsidP="00BF197A">
      <w:r>
        <w:t xml:space="preserve">The GCDAMP seeks to manage the impacts of dam operations and related </w:t>
      </w:r>
      <w:r w:rsidR="009241F2">
        <w:t>actions</w:t>
      </w:r>
      <w:r>
        <w:t xml:space="preserve"> on </w:t>
      </w:r>
      <w:r w:rsidR="009241F2">
        <w:t>the Colorado River ecosystem</w:t>
      </w:r>
      <w:r>
        <w:t xml:space="preserve">. GCDAMP management actions constitute a distinct subset of drivers </w:t>
      </w:r>
      <w:r w:rsidRPr="00D47218">
        <w:t>that</w:t>
      </w:r>
      <w:r w:rsidR="004E5D6C">
        <w:t xml:space="preserve"> cause or potentially could cause changes in </w:t>
      </w:r>
      <w:r w:rsidRPr="00D47218">
        <w:t>the quality, abundance, spatial and temporal distributions</w:t>
      </w:r>
      <w:r w:rsidR="009241F2">
        <w:t>, or other characteristics</w:t>
      </w:r>
      <w:r w:rsidRPr="00D47218">
        <w:t xml:space="preserve"> of </w:t>
      </w:r>
      <w:r>
        <w:t>a resource</w:t>
      </w:r>
      <w:r w:rsidR="005959E9">
        <w:t xml:space="preserve"> or other condition</w:t>
      </w:r>
      <w:r w:rsidRPr="00D47218">
        <w:t>.</w:t>
      </w:r>
      <w:r w:rsidR="001F68AC">
        <w:t xml:space="preserve"> </w:t>
      </w:r>
      <w:r w:rsidR="007162AC">
        <w:t xml:space="preserve">As noted above, the present Knowledge Assessment addresses the effects of management actions separately from the effects of other drivers and constraints, as discussed earlier in this guidance document. </w:t>
      </w:r>
      <w:r w:rsidR="005959E9">
        <w:t>The GCDAMP relies on k</w:t>
      </w:r>
      <w:r w:rsidR="001F68AC">
        <w:t xml:space="preserve">nowledge of these effects </w:t>
      </w:r>
      <w:r w:rsidR="005959E9">
        <w:t xml:space="preserve">– known or hypothesized – to </w:t>
      </w:r>
      <w:r w:rsidR="001F68AC">
        <w:t xml:space="preserve">guide </w:t>
      </w:r>
      <w:r w:rsidR="005959E9">
        <w:t>its</w:t>
      </w:r>
      <w:r w:rsidR="001F68AC">
        <w:t xml:space="preserve"> actions.</w:t>
      </w:r>
    </w:p>
    <w:p w:rsidR="005959E9" w:rsidRDefault="005959E9" w:rsidP="005959E9">
      <w:r>
        <w:t xml:space="preserve">The GCDAMP knowledge assessment of </w:t>
      </w:r>
      <w:r w:rsidR="007162AC">
        <w:t xml:space="preserve">the potential effects of </w:t>
      </w:r>
      <w:r w:rsidR="004F3ED7">
        <w:t>each type or management action</w:t>
      </w:r>
      <w:r w:rsidR="007162AC">
        <w:t xml:space="preserve"> on</w:t>
      </w:r>
      <w:r>
        <w:t xml:space="preserve"> each </w:t>
      </w:r>
      <w:r w:rsidR="004E5D6C">
        <w:t>resource</w:t>
      </w:r>
      <w:r>
        <w:t xml:space="preserve"> topic again uses a standard table, an image of which is shown below (</w:t>
      </w:r>
      <w:r w:rsidRPr="00D6009B">
        <w:rPr>
          <w:i/>
        </w:rPr>
        <w:t>not shown actual size</w:t>
      </w:r>
      <w:r w:rsidR="00117494">
        <w:t>)</w:t>
      </w:r>
      <w:r>
        <w:t xml:space="preserve">. A separate spreadsheet again provides the actual (blank) table template. The methodology for the review of </w:t>
      </w:r>
      <w:r w:rsidR="007162AC">
        <w:t xml:space="preserve">the potential effects of </w:t>
      </w:r>
      <w:r w:rsidR="004F3ED7">
        <w:t xml:space="preserve">the various types of </w:t>
      </w:r>
      <w:r w:rsidR="007162AC">
        <w:t xml:space="preserve">management actions </w:t>
      </w:r>
      <w:r>
        <w:t>is adapted from the logic of the National Park Service for its Natural Resources Condition Assessments (</w:t>
      </w:r>
      <w:hyperlink r:id="rId16" w:history="1">
        <w:r w:rsidRPr="00D849E0">
          <w:rPr>
            <w:rStyle w:val="Hyperlink"/>
          </w:rPr>
          <w:t>http://www.nature.nps.gov/water/nrca/</w:t>
        </w:r>
      </w:hyperlink>
      <w:r>
        <w:t xml:space="preserve">) (NPS 2014), with </w:t>
      </w:r>
      <w:r>
        <w:lastRenderedPageBreak/>
        <w:t xml:space="preserve">critical additions adapted from </w:t>
      </w:r>
      <w:r w:rsidR="000345B0">
        <w:t xml:space="preserve">the </w:t>
      </w:r>
      <w:r w:rsidR="000345B0" w:rsidRPr="005026C2">
        <w:t>Sac</w:t>
      </w:r>
      <w:r w:rsidR="000345B0">
        <w:t>ramento-San Joaquin Delta </w:t>
      </w:r>
      <w:r w:rsidR="000345B0" w:rsidRPr="005026C2">
        <w:t>Ecosystem Restoration Program (</w:t>
      </w:r>
      <w:hyperlink r:id="rId17" w:history="1">
        <w:r w:rsidR="000345B0" w:rsidRPr="001D2FD6">
          <w:rPr>
            <w:rStyle w:val="Hyperlink"/>
            <w:rFonts w:eastAsia="Calibri"/>
          </w:rPr>
          <w:t>https://www.dfg.ca.gov/ERP/ conceptual_models.asp</w:t>
        </w:r>
      </w:hyperlink>
      <w:r w:rsidR="000345B0">
        <w:t>) (</w:t>
      </w:r>
      <w:proofErr w:type="spellStart"/>
      <w:r w:rsidR="000345B0">
        <w:t>D</w:t>
      </w:r>
      <w:r w:rsidR="000345B0" w:rsidRPr="00C35198">
        <w:t>iGennaro</w:t>
      </w:r>
      <w:proofErr w:type="spellEnd"/>
      <w:r w:rsidR="000345B0" w:rsidRPr="00C35198">
        <w:t xml:space="preserve"> et al. 2012</w:t>
      </w:r>
      <w:r w:rsidR="000345B0">
        <w:t>).</w:t>
      </w:r>
    </w:p>
    <w:p w:rsidR="00F11322" w:rsidRDefault="00204603" w:rsidP="005959E9">
      <w:r w:rsidRPr="00204603">
        <w:drawing>
          <wp:inline distT="0" distB="0" distL="0" distR="0" wp14:anchorId="6BDEB5A3" wp14:editId="59EB2F3D">
            <wp:extent cx="8595360" cy="790509"/>
            <wp:effectExtent l="19050" t="19050" r="1524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95360" cy="790509"/>
                    </a:xfrm>
                    <a:prstGeom prst="rect">
                      <a:avLst/>
                    </a:prstGeom>
                    <a:noFill/>
                    <a:ln w="3175">
                      <a:solidFill>
                        <a:schemeClr val="tx1"/>
                      </a:solidFill>
                    </a:ln>
                  </pic:spPr>
                </pic:pic>
              </a:graphicData>
            </a:graphic>
          </wp:inline>
        </w:drawing>
      </w:r>
    </w:p>
    <w:p w:rsidR="00872EF2" w:rsidRDefault="007162AC" w:rsidP="005959E9">
      <w:r>
        <w:t xml:space="preserve">The table </w:t>
      </w:r>
      <w:r w:rsidR="00885428">
        <w:t xml:space="preserve">again (as with the assessment of status and trend) </w:t>
      </w:r>
      <w:r>
        <w:t xml:space="preserve">recognizes that GCDAMP investigators typically focus on specific characteristics, conditions, or variables for each </w:t>
      </w:r>
      <w:r w:rsidR="004E5D6C">
        <w:t>resource</w:t>
      </w:r>
      <w:r>
        <w:t xml:space="preserve"> topic</w:t>
      </w:r>
      <w:r w:rsidR="004E5D6C">
        <w:t>; and</w:t>
      </w:r>
      <w:r>
        <w:t xml:space="preserve"> may track each characteristic, condition, or variable using one or more specific, technical measures. The person or team preparing the table </w:t>
      </w:r>
      <w:r w:rsidR="00885428">
        <w:t xml:space="preserve">on the potential effects of </w:t>
      </w:r>
      <w:r w:rsidR="004F3ED7">
        <w:t xml:space="preserve">various types of </w:t>
      </w:r>
      <w:r w:rsidR="00885428">
        <w:t xml:space="preserve">management actions on each </w:t>
      </w:r>
      <w:r w:rsidR="008A07B6">
        <w:t>resource topic</w:t>
      </w:r>
      <w:r>
        <w:t xml:space="preserve"> must assess present understanding of </w:t>
      </w:r>
      <w:r w:rsidRPr="00041CE3">
        <w:rPr>
          <w:i/>
        </w:rPr>
        <w:t>each technical measure</w:t>
      </w:r>
      <w:r>
        <w:t xml:space="preserve"> on three dimensions</w:t>
      </w:r>
      <w:r w:rsidR="00885428">
        <w:t xml:space="preserve">: </w:t>
      </w:r>
      <w:r w:rsidR="005959E9">
        <w:t xml:space="preserve">the hypothesized strength of the effect that the </w:t>
      </w:r>
      <w:r w:rsidR="00885428">
        <w:t>management action</w:t>
      </w:r>
      <w:r w:rsidR="005959E9">
        <w:t xml:space="preserve"> </w:t>
      </w:r>
      <w:r w:rsidR="004F3ED7">
        <w:t xml:space="preserve">type </w:t>
      </w:r>
      <w:r w:rsidR="005959E9">
        <w:t xml:space="preserve">has on </w:t>
      </w:r>
      <w:r w:rsidR="00885428">
        <w:t>the measure</w:t>
      </w:r>
      <w:r w:rsidR="005959E9">
        <w:t xml:space="preserve"> of interest; the hypothesized direction of this effect; and c</w:t>
      </w:r>
      <w:r w:rsidR="00872EF2">
        <w:t xml:space="preserve">onfidence in these assessments. As noted above for the status/trend tables, previous investigations may not yet have defined consistent technical measures for all specific characteristics, conditions, or variables of interest for each resource topic. In these circumstances, the person or team preparing the </w:t>
      </w:r>
      <w:r w:rsidR="005D2730">
        <w:t>management/effects</w:t>
      </w:r>
      <w:r w:rsidR="00872EF2">
        <w:t xml:space="preserve"> table for the resource topic should </w:t>
      </w:r>
      <w:r w:rsidR="005D2730">
        <w:t>use whatever</w:t>
      </w:r>
      <w:r w:rsidR="00872EF2">
        <w:t xml:space="preserve"> technical measures </w:t>
      </w:r>
      <w:r w:rsidR="005D2730">
        <w:t>were proposed in the accompanying status/trend table.</w:t>
      </w:r>
      <w:r w:rsidR="00872EF2">
        <w:t xml:space="preserve"> A subsequent rating of “Low” for confidence (see below) should then reflect the absence of established or well-defined technical measures for the characteristics, conditions, or variables of interest</w:t>
      </w:r>
      <w:r w:rsidR="005D2730">
        <w:t xml:space="preserve"> and the ways in which management actions might affect them</w:t>
      </w:r>
      <w:r w:rsidR="00872EF2">
        <w:t>.</w:t>
      </w:r>
    </w:p>
    <w:p w:rsidR="005959E9" w:rsidRPr="007063B6" w:rsidRDefault="005959E9" w:rsidP="005959E9">
      <w:r>
        <w:t xml:space="preserve">The person or team preparing the </w:t>
      </w:r>
      <w:r w:rsidR="005D2730">
        <w:t xml:space="preserve">management/effects </w:t>
      </w:r>
      <w:r>
        <w:t xml:space="preserve">table for an individual </w:t>
      </w:r>
      <w:r w:rsidR="005D2730">
        <w:t>resource</w:t>
      </w:r>
      <w:r>
        <w:t xml:space="preserve"> topic also must provide brief rationale for the resulting ratings; and may also offer recommendations for monitoring and research to </w:t>
      </w:r>
      <w:r w:rsidR="00872EF2">
        <w:t>address crucial gaps in knowledge</w:t>
      </w:r>
      <w:r>
        <w:t xml:space="preserve">. The definitions and rating levels for assessing </w:t>
      </w:r>
      <w:r w:rsidR="00872EF2">
        <w:t>strength</w:t>
      </w:r>
      <w:r>
        <w:t xml:space="preserve">, </w:t>
      </w:r>
      <w:r w:rsidR="00872EF2">
        <w:t>direction</w:t>
      </w:r>
      <w:r>
        <w:t>, and confidence are as follows.</w:t>
      </w:r>
      <w:r w:rsidR="00117494">
        <w:t xml:space="preserve"> The definitions for strength and direction of effect differ from those applied to drivers and constraints, above, in </w:t>
      </w:r>
      <w:r w:rsidR="00DA48DA">
        <w:t xml:space="preserve">asking the person or team preparing the table to consider also how each action causes </w:t>
      </w:r>
      <w:r w:rsidR="00DA48DA" w:rsidRPr="00DA48DA">
        <w:rPr>
          <w:i/>
        </w:rPr>
        <w:t>or could cause</w:t>
      </w:r>
      <w:r w:rsidR="00DA48DA">
        <w:t xml:space="preserve"> some effect.</w:t>
      </w:r>
    </w:p>
    <w:p w:rsidR="001969D5" w:rsidRDefault="001969D5" w:rsidP="001969D5">
      <w:pPr>
        <w:pStyle w:val="Heading2"/>
      </w:pPr>
      <w:r>
        <w:t>Strength of Effect (Rating Definitions)</w:t>
      </w:r>
    </w:p>
    <w:p w:rsidR="00623D2C" w:rsidRDefault="00623D2C" w:rsidP="00767689">
      <w:pPr>
        <w:pStyle w:val="ListParagraph"/>
        <w:numPr>
          <w:ilvl w:val="0"/>
          <w:numId w:val="5"/>
        </w:numPr>
      </w:pPr>
      <w:bookmarkStart w:id="8" w:name="OLE_LINK7"/>
      <w:r>
        <w:rPr>
          <w:u w:val="single"/>
        </w:rPr>
        <w:t>Strong</w:t>
      </w:r>
      <w:r>
        <w:t xml:space="preserve">: </w:t>
      </w:r>
      <w:r w:rsidR="00767689" w:rsidRPr="00767689">
        <w:t xml:space="preserve">The </w:t>
      </w:r>
      <w:r w:rsidR="004F3ED7">
        <w:t xml:space="preserve">management </w:t>
      </w:r>
      <w:r w:rsidR="00767689" w:rsidRPr="00767689">
        <w:t xml:space="preserve">action causes </w:t>
      </w:r>
      <w:r w:rsidR="00506905">
        <w:t xml:space="preserve">or </w:t>
      </w:r>
      <w:r w:rsidR="00DA48DA">
        <w:t>could</w:t>
      </w:r>
      <w:r w:rsidR="00506905">
        <w:t xml:space="preserve"> cause </w:t>
      </w:r>
      <w:r w:rsidR="00767689" w:rsidRPr="00767689">
        <w:t xml:space="preserve">a relatively large change in the affected </w:t>
      </w:r>
      <w:r w:rsidR="00885428">
        <w:t>measure or condition</w:t>
      </w:r>
      <w:r w:rsidR="00767689" w:rsidRPr="00767689">
        <w:t xml:space="preserve">, and </w:t>
      </w:r>
      <w:r w:rsidR="002C2BEF">
        <w:t>this</w:t>
      </w:r>
      <w:r w:rsidR="00767689" w:rsidRPr="00767689">
        <w:t xml:space="preserve"> cause-effect relationship is not significantly subject to random variation or affected </w:t>
      </w:r>
      <w:r w:rsidR="00767689">
        <w:t>by variability in other factors</w:t>
      </w:r>
      <w:r w:rsidRPr="00AF734A">
        <w:t>.</w:t>
      </w:r>
    </w:p>
    <w:p w:rsidR="00623D2C" w:rsidRDefault="00623D2C" w:rsidP="00767689">
      <w:pPr>
        <w:pStyle w:val="ListParagraph"/>
        <w:numPr>
          <w:ilvl w:val="0"/>
          <w:numId w:val="5"/>
        </w:numPr>
      </w:pPr>
      <w:r w:rsidRPr="00235D09">
        <w:rPr>
          <w:u w:val="single"/>
        </w:rPr>
        <w:t>Moderate</w:t>
      </w:r>
      <w:r w:rsidRPr="0089241C">
        <w:t>:</w:t>
      </w:r>
      <w:r w:rsidR="00767689">
        <w:t xml:space="preserve"> </w:t>
      </w:r>
      <w:r w:rsidR="00767689" w:rsidRPr="00767689">
        <w:t xml:space="preserve">The </w:t>
      </w:r>
      <w:r w:rsidR="004F3ED7">
        <w:t xml:space="preserve">management </w:t>
      </w:r>
      <w:r w:rsidR="00767689" w:rsidRPr="00767689">
        <w:t xml:space="preserve">action causes </w:t>
      </w:r>
      <w:r w:rsidR="00506905">
        <w:t xml:space="preserve">or </w:t>
      </w:r>
      <w:r w:rsidR="00DA48DA">
        <w:t>could</w:t>
      </w:r>
      <w:r w:rsidR="00506905">
        <w:t xml:space="preserve"> cause </w:t>
      </w:r>
      <w:r w:rsidR="00767689" w:rsidRPr="00767689">
        <w:t xml:space="preserve">a relatively moderate change in the affected </w:t>
      </w:r>
      <w:r w:rsidR="00885428">
        <w:t>measure or condition</w:t>
      </w:r>
      <w:r w:rsidR="00767689" w:rsidRPr="00767689">
        <w:t xml:space="preserve">, and/or </w:t>
      </w:r>
      <w:r w:rsidR="002C2BEF">
        <w:t>this</w:t>
      </w:r>
      <w:r w:rsidR="00767689" w:rsidRPr="00767689">
        <w:t xml:space="preserve"> cause-effect relationship is subject to moderate random variation or is moderately affected by variability in other factors.</w:t>
      </w:r>
    </w:p>
    <w:p w:rsidR="00623D2C" w:rsidRDefault="00623D2C" w:rsidP="00ED7075">
      <w:pPr>
        <w:pStyle w:val="ListParagraph"/>
        <w:numPr>
          <w:ilvl w:val="0"/>
          <w:numId w:val="5"/>
        </w:numPr>
      </w:pPr>
      <w:r>
        <w:rPr>
          <w:u w:val="single"/>
        </w:rPr>
        <w:t>Weak</w:t>
      </w:r>
      <w:r w:rsidRPr="003750FA">
        <w:t>:</w:t>
      </w:r>
      <w:r>
        <w:t xml:space="preserve"> </w:t>
      </w:r>
      <w:r w:rsidR="00ED7075" w:rsidRPr="00ED7075">
        <w:t xml:space="preserve">The </w:t>
      </w:r>
      <w:r w:rsidR="004F3ED7">
        <w:t xml:space="preserve">management </w:t>
      </w:r>
      <w:r w:rsidR="00ED7075" w:rsidRPr="00ED7075">
        <w:t xml:space="preserve">action causes </w:t>
      </w:r>
      <w:r w:rsidR="00506905">
        <w:t xml:space="preserve">or </w:t>
      </w:r>
      <w:r w:rsidR="00DA48DA">
        <w:t>could</w:t>
      </w:r>
      <w:r w:rsidR="00506905">
        <w:t xml:space="preserve"> cause </w:t>
      </w:r>
      <w:r w:rsidR="00ED7075" w:rsidRPr="00ED7075">
        <w:t xml:space="preserve">only a relatively small change in the affected </w:t>
      </w:r>
      <w:r w:rsidR="002C2BEF">
        <w:t>measure or condition</w:t>
      </w:r>
      <w:r w:rsidR="00ED7075" w:rsidRPr="00ED7075">
        <w:t xml:space="preserve">, and/or </w:t>
      </w:r>
      <w:r w:rsidR="002C2BEF">
        <w:t>this</w:t>
      </w:r>
      <w:r w:rsidR="00ED7075" w:rsidRPr="00ED7075">
        <w:t xml:space="preserve"> cause-effect relationship is subject to significant random variation or is strongly affected by variability in other factors.</w:t>
      </w:r>
    </w:p>
    <w:p w:rsidR="002E2B94" w:rsidRDefault="002E2B94" w:rsidP="00571C08">
      <w:pPr>
        <w:pStyle w:val="ListParagraph"/>
        <w:numPr>
          <w:ilvl w:val="0"/>
          <w:numId w:val="5"/>
        </w:numPr>
      </w:pPr>
      <w:r>
        <w:rPr>
          <w:u w:val="single"/>
        </w:rPr>
        <w:t>Unknown</w:t>
      </w:r>
      <w:r>
        <w:t xml:space="preserve">: </w:t>
      </w:r>
      <w:r w:rsidR="00C35A3B">
        <w:t>There is not sufficient information</w:t>
      </w:r>
      <w:r w:rsidR="00571C08" w:rsidRPr="00571C08">
        <w:t xml:space="preserve">, with which to evaluate the strength of the cause-effect relationship, even though there is sufficient information </w:t>
      </w:r>
      <w:r w:rsidR="00C35A3B">
        <w:t>to support a hypothesis</w:t>
      </w:r>
      <w:r w:rsidR="00571C08" w:rsidRPr="00571C08">
        <w:t xml:space="preserve"> that at least some type of cause-effect relationship may exist. This rating typically would </w:t>
      </w:r>
      <w:r w:rsidR="00C35A3B">
        <w:t>call for</w:t>
      </w:r>
      <w:r w:rsidR="00571C08" w:rsidRPr="00571C08">
        <w:t xml:space="preserve"> ratings of </w:t>
      </w:r>
      <w:r w:rsidR="00571C08">
        <w:t>“U</w:t>
      </w:r>
      <w:r w:rsidR="00571C08" w:rsidRPr="00571C08">
        <w:t>nknown</w:t>
      </w:r>
      <w:r w:rsidR="00571C08">
        <w:t>”</w:t>
      </w:r>
      <w:r w:rsidR="00571C08" w:rsidRPr="00571C08">
        <w:t xml:space="preserve"> for the direction of effect and </w:t>
      </w:r>
      <w:r w:rsidR="00571C08">
        <w:t>“L</w:t>
      </w:r>
      <w:r w:rsidR="00571C08" w:rsidRPr="00571C08">
        <w:t>ow</w:t>
      </w:r>
      <w:r w:rsidR="00571C08">
        <w:t>”</w:t>
      </w:r>
      <w:r w:rsidR="00571C08" w:rsidRPr="00571C08">
        <w:t xml:space="preserve"> for confidence. However, in some cases it may be </w:t>
      </w:r>
      <w:r w:rsidR="00571C08" w:rsidRPr="00571C08">
        <w:lastRenderedPageBreak/>
        <w:t>possible to estimate the direction but not the strength of an effect. In such cases the user must explain why it is possible to assess the direction but not strength of the effect.</w:t>
      </w:r>
    </w:p>
    <w:bookmarkEnd w:id="8"/>
    <w:p w:rsidR="001969D5" w:rsidRDefault="001969D5" w:rsidP="001969D5">
      <w:pPr>
        <w:pStyle w:val="Heading2"/>
      </w:pPr>
      <w:r>
        <w:t>Direction of Effect (Rating Definitions)</w:t>
      </w:r>
    </w:p>
    <w:p w:rsidR="00623D2C" w:rsidRDefault="00623D2C" w:rsidP="007D60D3">
      <w:pPr>
        <w:pStyle w:val="ListParagraph"/>
        <w:numPr>
          <w:ilvl w:val="0"/>
          <w:numId w:val="5"/>
        </w:numPr>
      </w:pPr>
      <w:bookmarkStart w:id="9" w:name="OLE_LINK8"/>
      <w:r>
        <w:rPr>
          <w:u w:val="single"/>
        </w:rPr>
        <w:t>Positive Effect</w:t>
      </w:r>
      <w:r>
        <w:t xml:space="preserve">: </w:t>
      </w:r>
      <w:r w:rsidR="007D60D3" w:rsidRPr="007D60D3">
        <w:t xml:space="preserve">The </w:t>
      </w:r>
      <w:r w:rsidR="004F3ED7">
        <w:t xml:space="preserve">management </w:t>
      </w:r>
      <w:r w:rsidR="007D60D3" w:rsidRPr="007D60D3">
        <w:t xml:space="preserve">action causes </w:t>
      </w:r>
      <w:r w:rsidR="00506905">
        <w:t xml:space="preserve">or </w:t>
      </w:r>
      <w:r w:rsidR="00DA48DA">
        <w:t>could</w:t>
      </w:r>
      <w:r w:rsidR="00506905">
        <w:t xml:space="preserve"> cause </w:t>
      </w:r>
      <w:r w:rsidR="007D60D3" w:rsidRPr="007D60D3">
        <w:t xml:space="preserve">an increase in the quality, abundance, and/or spatial and temporal distributions of the </w:t>
      </w:r>
      <w:r w:rsidR="002C2BEF" w:rsidRPr="00767689">
        <w:t xml:space="preserve">affected </w:t>
      </w:r>
      <w:r w:rsidR="002C2BEF">
        <w:t>measure or condition</w:t>
      </w:r>
      <w:r w:rsidR="007D60D3" w:rsidRPr="007D60D3">
        <w:t>.</w:t>
      </w:r>
    </w:p>
    <w:p w:rsidR="00623D2C" w:rsidRDefault="00623D2C" w:rsidP="007D60D3">
      <w:pPr>
        <w:pStyle w:val="ListParagraph"/>
        <w:numPr>
          <w:ilvl w:val="0"/>
          <w:numId w:val="5"/>
        </w:numPr>
      </w:pPr>
      <w:r w:rsidRPr="00EB6DC1">
        <w:rPr>
          <w:u w:val="single"/>
        </w:rPr>
        <w:t>Negative Effect</w:t>
      </w:r>
      <w:r>
        <w:t xml:space="preserve">: </w:t>
      </w:r>
      <w:r w:rsidR="007D60D3" w:rsidRPr="007D60D3">
        <w:t xml:space="preserve">The </w:t>
      </w:r>
      <w:r w:rsidR="004F3ED7">
        <w:t xml:space="preserve">management </w:t>
      </w:r>
      <w:r w:rsidR="007D60D3" w:rsidRPr="007D60D3">
        <w:t xml:space="preserve">action causes </w:t>
      </w:r>
      <w:r w:rsidR="00506905">
        <w:t xml:space="preserve">or </w:t>
      </w:r>
      <w:r w:rsidR="00DA48DA">
        <w:t>could</w:t>
      </w:r>
      <w:r w:rsidR="00506905">
        <w:t xml:space="preserve"> cause </w:t>
      </w:r>
      <w:r w:rsidR="007D60D3" w:rsidRPr="007D60D3">
        <w:t xml:space="preserve">a decrease in the quality, abundance, and/or spatial and temporal distributions of the </w:t>
      </w:r>
      <w:r w:rsidR="002C2BEF" w:rsidRPr="00767689">
        <w:t xml:space="preserve">affected </w:t>
      </w:r>
      <w:r w:rsidR="002C2BEF">
        <w:t>measure or condition</w:t>
      </w:r>
      <w:r w:rsidR="007D60D3" w:rsidRPr="007D60D3">
        <w:t>.</w:t>
      </w:r>
    </w:p>
    <w:p w:rsidR="00623D2C" w:rsidRDefault="00623D2C" w:rsidP="007D60D3">
      <w:pPr>
        <w:pStyle w:val="ListParagraph"/>
        <w:numPr>
          <w:ilvl w:val="0"/>
          <w:numId w:val="5"/>
        </w:numPr>
      </w:pPr>
      <w:r w:rsidRPr="0085796A">
        <w:rPr>
          <w:u w:val="single"/>
        </w:rPr>
        <w:t>No Effect</w:t>
      </w:r>
      <w:r>
        <w:t xml:space="preserve">: </w:t>
      </w:r>
      <w:r w:rsidR="007D60D3" w:rsidRPr="007D60D3">
        <w:t xml:space="preserve">The </w:t>
      </w:r>
      <w:r w:rsidR="004F3ED7">
        <w:t xml:space="preserve">management </w:t>
      </w:r>
      <w:r w:rsidR="007D60D3" w:rsidRPr="007D60D3">
        <w:t xml:space="preserve">action does not </w:t>
      </w:r>
      <w:r w:rsidR="0095374D">
        <w:t xml:space="preserve">or </w:t>
      </w:r>
      <w:r w:rsidR="00DA48DA">
        <w:t>could</w:t>
      </w:r>
      <w:r w:rsidR="0095374D">
        <w:t xml:space="preserve"> not </w:t>
      </w:r>
      <w:r w:rsidR="007D60D3" w:rsidRPr="007D60D3">
        <w:t xml:space="preserve">cause either an increase or a decrease in the quality, abundance, and/or spatial and temporal distributions of the </w:t>
      </w:r>
      <w:r w:rsidR="002C2BEF" w:rsidRPr="00767689">
        <w:t xml:space="preserve">affected </w:t>
      </w:r>
      <w:r w:rsidR="002C2BEF">
        <w:t>measure or condition</w:t>
      </w:r>
      <w:r w:rsidR="002E2B94">
        <w:t>.</w:t>
      </w:r>
    </w:p>
    <w:p w:rsidR="00321C19" w:rsidRDefault="00321C19" w:rsidP="00321C19">
      <w:pPr>
        <w:pStyle w:val="ListParagraph"/>
        <w:numPr>
          <w:ilvl w:val="0"/>
          <w:numId w:val="5"/>
        </w:numPr>
      </w:pPr>
      <w:r w:rsidRPr="0085796A">
        <w:rPr>
          <w:u w:val="single"/>
        </w:rPr>
        <w:t>Unknown</w:t>
      </w:r>
      <w:r>
        <w:t xml:space="preserve">: </w:t>
      </w:r>
      <w:r w:rsidR="00C35A3B">
        <w:t>There is not sufficient information</w:t>
      </w:r>
      <w:r w:rsidRPr="00571C08">
        <w:t>, with which to evaluate the direction of effect.</w:t>
      </w:r>
    </w:p>
    <w:bookmarkEnd w:id="9"/>
    <w:p w:rsidR="001969D5" w:rsidRDefault="001969D5" w:rsidP="001969D5">
      <w:pPr>
        <w:pStyle w:val="Heading2"/>
        <w:ind w:left="720" w:hanging="720"/>
      </w:pPr>
      <w:r>
        <w:t>Confidence (Rating Definitions)</w:t>
      </w:r>
    </w:p>
    <w:p w:rsidR="00C3787D" w:rsidRDefault="00C3787D" w:rsidP="00C3787D">
      <w:pPr>
        <w:pStyle w:val="ListParagraph"/>
        <w:numPr>
          <w:ilvl w:val="0"/>
          <w:numId w:val="5"/>
        </w:numPr>
      </w:pPr>
      <w:bookmarkStart w:id="10" w:name="OLE_LINK9"/>
      <w:r w:rsidRPr="00D33C48">
        <w:rPr>
          <w:u w:val="single"/>
        </w:rPr>
        <w:t>High</w:t>
      </w:r>
      <w:r>
        <w:t>: Current u</w:t>
      </w:r>
      <w:r w:rsidRPr="00D33C48">
        <w:t xml:space="preserve">nderstanding of </w:t>
      </w:r>
      <w:r>
        <w:t>the proposed cause-effect relationship</w:t>
      </w:r>
      <w:r w:rsidRPr="00D33C48">
        <w:t xml:space="preserve"> is subject to little or no disagreement or uncertainty </w:t>
      </w:r>
      <w:r>
        <w:t xml:space="preserve">among investigators and </w:t>
      </w:r>
      <w:r w:rsidRPr="00D33C48">
        <w:t>in peer-reviewed studies</w:t>
      </w:r>
      <w:r>
        <w:t>; is supported by substantial, high-quality</w:t>
      </w:r>
      <w:r w:rsidR="007E01E4">
        <w:t>, documented</w:t>
      </w:r>
      <w:r>
        <w:t xml:space="preserve"> expert knowledge and/or evidence and, where appropriate, by well-accepted statistical analyses; and is consistent with w</w:t>
      </w:r>
      <w:r w:rsidRPr="00D33C48">
        <w:t xml:space="preserve">ell-accepted principles </w:t>
      </w:r>
      <w:r>
        <w:t xml:space="preserve">in the relevant fields of knowledge </w:t>
      </w:r>
      <w:r w:rsidRPr="00D33C48">
        <w:t xml:space="preserve">and/or </w:t>
      </w:r>
      <w:r>
        <w:t xml:space="preserve">with </w:t>
      </w:r>
      <w:r w:rsidRPr="00D33C48">
        <w:t>studies in highly analogous systems.</w:t>
      </w:r>
    </w:p>
    <w:p w:rsidR="00C3787D" w:rsidRDefault="00C3787D" w:rsidP="00C3787D">
      <w:pPr>
        <w:pStyle w:val="ListParagraph"/>
        <w:numPr>
          <w:ilvl w:val="0"/>
          <w:numId w:val="5"/>
        </w:numPr>
      </w:pPr>
      <w:r>
        <w:rPr>
          <w:u w:val="single"/>
        </w:rPr>
        <w:t>Medium</w:t>
      </w:r>
      <w:r w:rsidRPr="00791B46">
        <w:t>:</w:t>
      </w:r>
      <w:r>
        <w:t xml:space="preserve"> Current u</w:t>
      </w:r>
      <w:r w:rsidRPr="00D33C48">
        <w:t xml:space="preserve">nderstanding of </w:t>
      </w:r>
      <w:r>
        <w:t>the proposed cause-effect relationship</w:t>
      </w:r>
      <w:r w:rsidRPr="00D33C48">
        <w:t xml:space="preserve"> is subject to </w:t>
      </w:r>
      <w:r>
        <w:t>moderate</w:t>
      </w:r>
      <w:r w:rsidRPr="00D33C48">
        <w:t xml:space="preserve"> disagreement or uncertainty </w:t>
      </w:r>
      <w:r>
        <w:t xml:space="preserve">among investigators and among </w:t>
      </w:r>
      <w:r w:rsidRPr="00D33C48">
        <w:t>peer-reviewed studies</w:t>
      </w:r>
      <w:r>
        <w:t xml:space="preserve">; and is supported by some </w:t>
      </w:r>
      <w:r w:rsidR="007E01E4">
        <w:t xml:space="preserve">documented </w:t>
      </w:r>
      <w:r>
        <w:t xml:space="preserve">expert knowledge and/or evidence and analyses. The expert knowledge and/or evidence and analyses may be limited or subject to methodological weaknesses, but nevertheless may be 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p>
    <w:p w:rsidR="00C3787D" w:rsidRDefault="00C3787D" w:rsidP="00EE0AA7">
      <w:pPr>
        <w:pStyle w:val="ListParagraph"/>
        <w:numPr>
          <w:ilvl w:val="0"/>
          <w:numId w:val="5"/>
        </w:numPr>
      </w:pPr>
      <w:r>
        <w:rPr>
          <w:u w:val="single"/>
        </w:rPr>
        <w:t>Low</w:t>
      </w:r>
      <w:r w:rsidRPr="0027132C">
        <w:t>:</w:t>
      </w:r>
      <w:r>
        <w:t xml:space="preserve"> Current u</w:t>
      </w:r>
      <w:r w:rsidRPr="00D33C48">
        <w:t xml:space="preserve">nderstanding of </w:t>
      </w:r>
      <w:r>
        <w:t>the proposed cause-effect relationship</w:t>
      </w:r>
      <w:r w:rsidRPr="00D33C48">
        <w:t xml:space="preserve"> is subject to </w:t>
      </w:r>
      <w:r>
        <w:t>substantial</w:t>
      </w:r>
      <w:r w:rsidRPr="00D33C48">
        <w:t xml:space="preserve"> disagreement or uncertainty </w:t>
      </w:r>
      <w:r>
        <w:t xml:space="preserve">among investigators and among </w:t>
      </w:r>
      <w:r w:rsidRPr="00D33C48">
        <w:t>peer-reviewed studies</w:t>
      </w:r>
      <w:r>
        <w:t xml:space="preserve">; is supported by only limited </w:t>
      </w:r>
      <w:r w:rsidR="007E01E4">
        <w:t xml:space="preserve">or undocumented </w:t>
      </w:r>
      <w:r>
        <w:t xml:space="preserve">expert knowledge and/or evidence and analyses that may also be subject to methodological weaknesses; and may be inconsistent with </w:t>
      </w:r>
      <w:r w:rsidRPr="00D33C48">
        <w:t xml:space="preserve">well-accepted principles </w:t>
      </w:r>
      <w:r>
        <w:t xml:space="preserve">in the relevant fields of knowledge </w:t>
      </w:r>
      <w:r w:rsidRPr="00D33C48">
        <w:t xml:space="preserve">and/or </w:t>
      </w:r>
      <w:r>
        <w:t xml:space="preserve">with </w:t>
      </w:r>
      <w:r w:rsidRPr="00D33C48">
        <w:t>studies in highly analogous systems.</w:t>
      </w:r>
      <w:r w:rsidR="00EE0AA7">
        <w:t xml:space="preserve"> </w:t>
      </w:r>
      <w:r w:rsidR="00EE0AA7" w:rsidRPr="00EE0AA7">
        <w:t xml:space="preserve">Ratings of </w:t>
      </w:r>
      <w:r w:rsidR="00EE0AA7">
        <w:t>“U</w:t>
      </w:r>
      <w:r w:rsidR="00EE0AA7" w:rsidRPr="00EE0AA7">
        <w:t>nknown</w:t>
      </w:r>
      <w:r w:rsidR="00EE0AA7">
        <w:t>”</w:t>
      </w:r>
      <w:r w:rsidR="00EE0AA7" w:rsidRPr="00EE0AA7">
        <w:t xml:space="preserve"> for the strength and/or direction of an effect typically receive ratings of </w:t>
      </w:r>
      <w:r w:rsidR="00EE0AA7">
        <w:t>“L</w:t>
      </w:r>
      <w:r w:rsidR="00EE0AA7" w:rsidRPr="00EE0AA7">
        <w:t>ow</w:t>
      </w:r>
      <w:r w:rsidR="00EE0AA7">
        <w:t>”</w:t>
      </w:r>
      <w:r w:rsidR="00EE0AA7" w:rsidRPr="00EE0AA7">
        <w:t xml:space="preserve"> for confidence.</w:t>
      </w:r>
    </w:p>
    <w:p w:rsidR="00204603" w:rsidRDefault="00204603" w:rsidP="00204603">
      <w:pPr>
        <w:pStyle w:val="Heading2"/>
        <w:ind w:left="720" w:hanging="720"/>
      </w:pPr>
      <w:r>
        <w:t>Data Entry</w:t>
      </w:r>
    </w:p>
    <w:p w:rsidR="00204603" w:rsidRDefault="00204603" w:rsidP="00204603">
      <w:r>
        <w:t xml:space="preserve">The person or team preparing the </w:t>
      </w:r>
      <w:r w:rsidR="00C855E3">
        <w:t>management/actions</w:t>
      </w:r>
      <w:r>
        <w:t xml:space="preserve"> table for an individual resource topic will proceed through the following steps:</w:t>
      </w:r>
    </w:p>
    <w:p w:rsidR="00204603" w:rsidRDefault="00204603" w:rsidP="00204603">
      <w:pPr>
        <w:pStyle w:val="ListParagraph"/>
        <w:numPr>
          <w:ilvl w:val="0"/>
          <w:numId w:val="16"/>
        </w:numPr>
      </w:pPr>
      <w:r>
        <w:t>Check that the file name correctly identifies the resource topic being addressed (see instruction #1 for status/trend tables, above).</w:t>
      </w:r>
    </w:p>
    <w:p w:rsidR="00204603" w:rsidRDefault="00204603" w:rsidP="00204603">
      <w:pPr>
        <w:pStyle w:val="ListParagraph"/>
        <w:numPr>
          <w:ilvl w:val="0"/>
          <w:numId w:val="16"/>
        </w:numPr>
      </w:pPr>
      <w:r>
        <w:t>Insert in Row 2 the name of the resource topic being addressed, by selecting the appropriate name from the provided drop-down list.</w:t>
      </w:r>
      <w:r w:rsidR="002334A6">
        <w:t xml:space="preserve"> </w:t>
      </w:r>
      <w:r w:rsidR="002334A6">
        <w:t>The definitions for the Resource Topic entries are provided in the ‘Topic &amp; Action Labels’ worksheet (tab).</w:t>
      </w:r>
    </w:p>
    <w:p w:rsidR="00204603" w:rsidRDefault="00204603" w:rsidP="00204603">
      <w:pPr>
        <w:pStyle w:val="ListParagraph"/>
        <w:numPr>
          <w:ilvl w:val="0"/>
          <w:numId w:val="16"/>
        </w:numPr>
      </w:pPr>
      <w:r>
        <w:t>Enter the information in Rows 3 and 4 for the names of the table preparer(s) and the preparation date.</w:t>
      </w:r>
    </w:p>
    <w:p w:rsidR="00204603" w:rsidRDefault="00204603" w:rsidP="00204603">
      <w:pPr>
        <w:pStyle w:val="ListParagraph"/>
        <w:numPr>
          <w:ilvl w:val="0"/>
          <w:numId w:val="16"/>
        </w:numPr>
      </w:pPr>
      <w:r w:rsidRPr="000955DD">
        <w:lastRenderedPageBreak/>
        <w:t xml:space="preserve">Enter </w:t>
      </w:r>
      <w:r>
        <w:t xml:space="preserve">the requested </w:t>
      </w:r>
      <w:r w:rsidRPr="000955DD">
        <w:t>information in Rows 7 onward for each technical measure, for each resource characteristic of interes</w:t>
      </w:r>
      <w:r>
        <w:t xml:space="preserve">t. </w:t>
      </w:r>
      <w:r w:rsidR="00B50917">
        <w:t xml:space="preserve">Select the name of each </w:t>
      </w:r>
      <w:r w:rsidR="00C855E3">
        <w:t>management action</w:t>
      </w:r>
      <w:r w:rsidR="00B50917">
        <w:t xml:space="preserve"> of interest</w:t>
      </w:r>
      <w:r w:rsidR="00C855E3">
        <w:t xml:space="preserve"> from the provided drop-down list. </w:t>
      </w:r>
      <w:r w:rsidR="002334A6">
        <w:t>The definitions for the values in the</w:t>
      </w:r>
      <w:r w:rsidR="002334A6">
        <w:t xml:space="preserve"> Management Action</w:t>
      </w:r>
      <w:r w:rsidR="002334A6">
        <w:t xml:space="preserve"> list are provided in the ‘</w:t>
      </w:r>
      <w:r w:rsidR="002334A6">
        <w:t>Topic &amp; Action Labels</w:t>
      </w:r>
      <w:r w:rsidR="002334A6">
        <w:t>’ worksheet (tab).</w:t>
      </w:r>
      <w:r w:rsidR="002334A6">
        <w:t xml:space="preserve"> </w:t>
      </w:r>
      <w:r>
        <w:t>The values for Strength, Direction, and Confidence are entered by selecting the appropriate value from the provided drop-down lists. The definitions for the values in these lists are provided in the ‘Scoring Values’ worksheet (tab).</w:t>
      </w:r>
    </w:p>
    <w:p w:rsidR="00B50917" w:rsidRPr="000955DD" w:rsidRDefault="00B50917" w:rsidP="00204603">
      <w:pPr>
        <w:pStyle w:val="ListParagraph"/>
        <w:numPr>
          <w:ilvl w:val="0"/>
          <w:numId w:val="16"/>
        </w:numPr>
      </w:pPr>
      <w:r>
        <w:t>See below for instructions on Reporting Rationales and Reporting Recommendations.</w:t>
      </w:r>
    </w:p>
    <w:bookmarkEnd w:id="10"/>
    <w:p w:rsidR="00567C1B" w:rsidRDefault="005B4D18" w:rsidP="005B4D18">
      <w:pPr>
        <w:pStyle w:val="Heading1"/>
      </w:pPr>
      <w:r>
        <w:t>Reporting Rationales</w:t>
      </w:r>
    </w:p>
    <w:p w:rsidR="005B4D18" w:rsidRDefault="005B4D18" w:rsidP="00327DA2">
      <w:r>
        <w:t xml:space="preserve">The tables for assessing status and trend, drivers and constraints, and effects of management actions all </w:t>
      </w:r>
      <w:r w:rsidRPr="0079629B">
        <w:t>require</w:t>
      </w:r>
      <w:r>
        <w:t xml:space="preserve"> </w:t>
      </w:r>
      <w:r w:rsidR="0033053C">
        <w:t xml:space="preserve">the user to state the rationale for each assessment (table row). The purpose of these entries is to </w:t>
      </w:r>
      <w:r w:rsidR="0033053C" w:rsidRPr="0033053C">
        <w:rPr>
          <w:i/>
        </w:rPr>
        <w:t>summarize</w:t>
      </w:r>
      <w:r w:rsidR="0033053C">
        <w:t xml:space="preserve"> the information on which the assessment rests. </w:t>
      </w:r>
      <w:r w:rsidR="0079629B">
        <w:t>At its simplest, e</w:t>
      </w:r>
      <w:r w:rsidR="008B0574">
        <w:t xml:space="preserve">ach entry could consist of </w:t>
      </w:r>
      <w:r w:rsidR="0033053C">
        <w:t xml:space="preserve">a </w:t>
      </w:r>
      <w:r w:rsidR="008B0574">
        <w:t xml:space="preserve">brief statement of present understanding accompanied by a </w:t>
      </w:r>
      <w:r w:rsidR="0033053C">
        <w:t>list of key studies or bodies of evidence</w:t>
      </w:r>
      <w:r w:rsidR="008B0574">
        <w:t xml:space="preserve">. Where the assessment rests on more limited evidence </w:t>
      </w:r>
      <w:r w:rsidR="007E01E4">
        <w:t>and/</w:t>
      </w:r>
      <w:r w:rsidR="008B0574">
        <w:t>or documented expert knowledge</w:t>
      </w:r>
      <w:r w:rsidR="007E01E4">
        <w:t xml:space="preserve">, or undocumented expert knowledge, the user may provide </w:t>
      </w:r>
      <w:r w:rsidR="0079629B">
        <w:t>a longer statement explaining</w:t>
      </w:r>
      <w:r w:rsidR="007E01E4">
        <w:t xml:space="preserve"> the assessment – but again with list of key studies or bodies of evidence as appropriate.</w:t>
      </w:r>
      <w:r w:rsidR="000805EB">
        <w:t xml:space="preserve"> In either case, the user should point the reader to any specific documents that may provide a more complete discussion of the topic and explanation of the present assessment.</w:t>
      </w:r>
    </w:p>
    <w:p w:rsidR="005B4D18" w:rsidRDefault="005B4D18" w:rsidP="005B4D18">
      <w:pPr>
        <w:pStyle w:val="Heading1"/>
      </w:pPr>
      <w:r>
        <w:t>Reporting Recommendations</w:t>
      </w:r>
    </w:p>
    <w:p w:rsidR="00454CD3" w:rsidRDefault="000805EB" w:rsidP="00327DA2">
      <w:r>
        <w:t>The tables for assessing status and trend, drivers and constraints, and effects of management actions all provide a place where the user can offer recommendations concerning monitoring and research needs. The user should identify technical measures or conditions that warrant continuing</w:t>
      </w:r>
      <w:r w:rsidR="00454CD3">
        <w:t xml:space="preserve"> monitoring</w:t>
      </w:r>
      <w:r w:rsidR="00047D7F">
        <w:t xml:space="preserve"> to address ongoing needs for knowledge</w:t>
      </w:r>
      <w:r>
        <w:t xml:space="preserve">, if </w:t>
      </w:r>
      <w:r w:rsidR="00454CD3">
        <w:t>adequate</w:t>
      </w:r>
      <w:r>
        <w:t xml:space="preserve"> monitoring already takes place.</w:t>
      </w:r>
      <w:r w:rsidR="00454CD3">
        <w:t xml:space="preserve"> The user also should identify technical measures or conditions that warrant improved monitoring, if monitoring already takes place but does not meet all needs; or new monitoring in cases where crucial monitoring does not yet take place.</w:t>
      </w:r>
    </w:p>
    <w:p w:rsidR="005B4D18" w:rsidRDefault="00454CD3" w:rsidP="00327DA2">
      <w:r>
        <w:t xml:space="preserve">Similarly, the user should identify </w:t>
      </w:r>
      <w:r w:rsidR="00D55339">
        <w:t xml:space="preserve">ongoing </w:t>
      </w:r>
      <w:r>
        <w:t xml:space="preserve">research studies that warrant continuation, if </w:t>
      </w:r>
      <w:r w:rsidR="007E4BB3">
        <w:t xml:space="preserve">that research </w:t>
      </w:r>
      <w:r w:rsidR="0079629B">
        <w:t>adequately addresses crucial gaps or weaknesses in knowledge</w:t>
      </w:r>
      <w:r>
        <w:t xml:space="preserve">. The user also should identify </w:t>
      </w:r>
      <w:r w:rsidR="007E4BB3">
        <w:t>ongoing research studies that</w:t>
      </w:r>
      <w:r>
        <w:t xml:space="preserve"> </w:t>
      </w:r>
      <w:r w:rsidR="007E4BB3">
        <w:t xml:space="preserve">need improvement to better address crucial gaps or weaknesses in knowledge; </w:t>
      </w:r>
      <w:r>
        <w:t xml:space="preserve">or new </w:t>
      </w:r>
      <w:r w:rsidR="007E4BB3">
        <w:t>research studies to address crucial but as yet unattended gaps or weaknesses</w:t>
      </w:r>
      <w:r>
        <w:t>.</w:t>
      </w:r>
    </w:p>
    <w:p w:rsidR="000554AE" w:rsidRDefault="00047D7F" w:rsidP="00327DA2">
      <w:r>
        <w:t>Finally, the user may also offer recommendations on ongoing monitoring or research studies that could be reduced in scope or set aside without harming GCDAMP needs.</w:t>
      </w:r>
    </w:p>
    <w:p w:rsidR="005B4D18" w:rsidRDefault="005B4D18" w:rsidP="005B4D18">
      <w:pPr>
        <w:pStyle w:val="Heading1"/>
      </w:pPr>
      <w:r>
        <w:lastRenderedPageBreak/>
        <w:t>Literature Cited</w:t>
      </w:r>
    </w:p>
    <w:p w:rsidR="006726ED" w:rsidRPr="006726ED" w:rsidRDefault="006726ED" w:rsidP="006726ED">
      <w:pPr>
        <w:pStyle w:val="References"/>
        <w:ind w:left="720" w:hanging="720"/>
        <w:rPr>
          <w:color w:val="0000FF"/>
          <w:u w:val="single"/>
        </w:rPr>
      </w:pPr>
      <w:proofErr w:type="spellStart"/>
      <w:r w:rsidRPr="001B36F2">
        <w:t>DiGennaro</w:t>
      </w:r>
      <w:proofErr w:type="spellEnd"/>
      <w:r w:rsidRPr="001B36F2">
        <w:t>, B., D</w:t>
      </w:r>
      <w:r>
        <w:t xml:space="preserve">. </w:t>
      </w:r>
      <w:r w:rsidRPr="001B36F2">
        <w:t>Reed, C</w:t>
      </w:r>
      <w:r>
        <w:t xml:space="preserve">. </w:t>
      </w:r>
      <w:r w:rsidRPr="001B36F2">
        <w:t>Swanson, L</w:t>
      </w:r>
      <w:r>
        <w:t xml:space="preserve">. </w:t>
      </w:r>
      <w:r w:rsidRPr="001B36F2">
        <w:t>Hastings, Z</w:t>
      </w:r>
      <w:r>
        <w:t xml:space="preserve">. </w:t>
      </w:r>
      <w:proofErr w:type="spellStart"/>
      <w:r w:rsidRPr="001B36F2">
        <w:t>Hymanson</w:t>
      </w:r>
      <w:proofErr w:type="spellEnd"/>
      <w:r w:rsidRPr="001B36F2">
        <w:t>, M</w:t>
      </w:r>
      <w:r>
        <w:t xml:space="preserve">. </w:t>
      </w:r>
      <w:r w:rsidRPr="001B36F2">
        <w:t>Healey, S</w:t>
      </w:r>
      <w:r>
        <w:t>. </w:t>
      </w:r>
      <w:r w:rsidRPr="001B36F2">
        <w:t>Siegel, S</w:t>
      </w:r>
      <w:r>
        <w:t xml:space="preserve">. </w:t>
      </w:r>
      <w:r w:rsidRPr="001B36F2">
        <w:t>Cantrell, and B</w:t>
      </w:r>
      <w:r>
        <w:t xml:space="preserve">.  </w:t>
      </w:r>
      <w:r w:rsidRPr="001B36F2">
        <w:t>Herbold</w:t>
      </w:r>
      <w:r>
        <w:t xml:space="preserve">.  </w:t>
      </w:r>
      <w:r w:rsidRPr="001B36F2">
        <w:t>2012</w:t>
      </w:r>
      <w:r>
        <w:t xml:space="preserve">.  </w:t>
      </w:r>
      <w:r w:rsidRPr="001B36F2">
        <w:t xml:space="preserve">Using </w:t>
      </w:r>
      <w:r>
        <w:t>C</w:t>
      </w:r>
      <w:r w:rsidRPr="001B36F2">
        <w:t xml:space="preserve">onceptual </w:t>
      </w:r>
      <w:r>
        <w:t>M</w:t>
      </w:r>
      <w:r w:rsidRPr="001B36F2">
        <w:t xml:space="preserve">odels and </w:t>
      </w:r>
      <w:r>
        <w:t>D</w:t>
      </w:r>
      <w:r w:rsidRPr="001B36F2">
        <w:t>ecision-</w:t>
      </w:r>
      <w:r>
        <w:t>S</w:t>
      </w:r>
      <w:r w:rsidRPr="001B36F2">
        <w:t xml:space="preserve">upport </w:t>
      </w:r>
      <w:r>
        <w:t>T</w:t>
      </w:r>
      <w:r w:rsidRPr="001B36F2">
        <w:t xml:space="preserve">ools to </w:t>
      </w:r>
      <w:r>
        <w:t>G</w:t>
      </w:r>
      <w:r w:rsidRPr="001B36F2">
        <w:t xml:space="preserve">uide </w:t>
      </w:r>
      <w:r>
        <w:t>Ecosystem R</w:t>
      </w:r>
      <w:r w:rsidRPr="001B36F2">
        <w:t xml:space="preserve">estoration </w:t>
      </w:r>
      <w:r>
        <w:t>P</w:t>
      </w:r>
      <w:r w:rsidRPr="001B36F2">
        <w:t xml:space="preserve">lanning and </w:t>
      </w:r>
      <w:r>
        <w:t>A</w:t>
      </w:r>
      <w:r w:rsidRPr="001B36F2">
        <w:t xml:space="preserve">daptive </w:t>
      </w:r>
      <w:r>
        <w:t>M</w:t>
      </w:r>
      <w:r w:rsidRPr="001B36F2">
        <w:t>anagement:</w:t>
      </w:r>
      <w:r>
        <w:t xml:space="preserve"> </w:t>
      </w:r>
      <w:r w:rsidRPr="001B36F2">
        <w:t xml:space="preserve">An </w:t>
      </w:r>
      <w:r>
        <w:t>E</w:t>
      </w:r>
      <w:r w:rsidRPr="001B36F2">
        <w:t>xample from the Sacramento–San Joaquin Delta, California</w:t>
      </w:r>
      <w:r>
        <w:t xml:space="preserve">.  </w:t>
      </w:r>
      <w:r w:rsidRPr="001B36F2">
        <w:t>San Francisco Estua</w:t>
      </w:r>
      <w:r>
        <w:t>ry and Watershed Science 10(3):</w:t>
      </w:r>
      <w:r w:rsidRPr="001B36F2">
        <w:t>1</w:t>
      </w:r>
      <w:r w:rsidR="0095374D">
        <w:t>-</w:t>
      </w:r>
      <w:r w:rsidRPr="001B36F2">
        <w:t>15</w:t>
      </w:r>
      <w:r>
        <w:t xml:space="preserve">.  </w:t>
      </w:r>
      <w:hyperlink r:id="rId19" w:history="1">
        <w:r w:rsidRPr="000405B6">
          <w:rPr>
            <w:rStyle w:val="Hyperlink2Char"/>
          </w:rPr>
          <w:t>http://escholarship.org/uc/item/3j95x7vt</w:t>
        </w:r>
      </w:hyperlink>
      <w:r>
        <w:t>.</w:t>
      </w:r>
    </w:p>
    <w:p w:rsidR="005B4D18" w:rsidRDefault="00517BC8" w:rsidP="00517BC8">
      <w:pPr>
        <w:ind w:left="720" w:hanging="720"/>
      </w:pPr>
      <w:r>
        <w:t>National Park Service (NPS). 2014. National Park Service-Natural Resource Condition Assessment (</w:t>
      </w:r>
      <w:r w:rsidRPr="00517BC8">
        <w:t>NPS-NRCA</w:t>
      </w:r>
      <w:r>
        <w:t>)</w:t>
      </w:r>
      <w:r w:rsidRPr="00517BC8">
        <w:t xml:space="preserve"> Guidance Update</w:t>
      </w:r>
      <w:r>
        <w:t xml:space="preserve">, </w:t>
      </w:r>
      <w:r w:rsidRPr="00517BC8">
        <w:t>January 20, 2014</w:t>
      </w:r>
      <w:r>
        <w:t xml:space="preserve">. Online: </w:t>
      </w:r>
      <w:hyperlink r:id="rId20" w:history="1">
        <w:r w:rsidR="0095374D">
          <w:rPr>
            <w:rStyle w:val="Hyperlink"/>
          </w:rPr>
          <w:t>http://www.nature.nps.gov/water/nrca/</w:t>
        </w:r>
      </w:hyperlink>
      <w:r>
        <w:t>.</w:t>
      </w:r>
    </w:p>
    <w:sectPr w:rsidR="005B4D18" w:rsidSect="009221BB">
      <w:type w:val="continuous"/>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EB" w:rsidRDefault="001250EB" w:rsidP="00EC3449">
      <w:pPr>
        <w:spacing w:after="0"/>
      </w:pPr>
      <w:r>
        <w:separator/>
      </w:r>
    </w:p>
  </w:endnote>
  <w:endnote w:type="continuationSeparator" w:id="0">
    <w:p w:rsidR="001250EB" w:rsidRDefault="001250EB" w:rsidP="00EC3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D3" w:rsidRPr="009241F2" w:rsidRDefault="00D56F88" w:rsidP="008B0359">
    <w:pPr>
      <w:pStyle w:val="Footer"/>
      <w:tabs>
        <w:tab w:val="clear" w:pos="9360"/>
        <w:tab w:val="right" w:pos="12960"/>
      </w:tabs>
      <w:rPr>
        <w:rFonts w:asciiTheme="minorHAnsi" w:hAnsiTheme="minorHAnsi"/>
        <w:sz w:val="18"/>
      </w:rPr>
    </w:pPr>
    <w:r>
      <w:rPr>
        <w:rFonts w:asciiTheme="minorHAnsi" w:hAnsiTheme="minorHAnsi"/>
        <w:sz w:val="18"/>
      </w:rPr>
      <w:t xml:space="preserve">GCDAMP </w:t>
    </w:r>
    <w:r w:rsidR="00454CD3" w:rsidRPr="009241F2">
      <w:rPr>
        <w:rFonts w:asciiTheme="minorHAnsi" w:hAnsiTheme="minorHAnsi"/>
        <w:sz w:val="18"/>
      </w:rPr>
      <w:t>20</w:t>
    </w:r>
    <w:r>
      <w:rPr>
        <w:rFonts w:asciiTheme="minorHAnsi" w:hAnsiTheme="minorHAnsi"/>
        <w:sz w:val="18"/>
      </w:rPr>
      <w:t>16-</w:t>
    </w:r>
    <w:r w:rsidR="00454CD3" w:rsidRPr="009241F2">
      <w:rPr>
        <w:rFonts w:asciiTheme="minorHAnsi" w:hAnsiTheme="minorHAnsi"/>
        <w:sz w:val="18"/>
      </w:rPr>
      <w:t>17 Knowledge Assessment Guidance</w:t>
    </w:r>
    <w:r w:rsidR="00454CD3" w:rsidRPr="009241F2">
      <w:rPr>
        <w:rFonts w:asciiTheme="minorHAnsi" w:hAnsiTheme="minorHAnsi"/>
        <w:sz w:val="18"/>
      </w:rPr>
      <w:tab/>
    </w:r>
    <w:r w:rsidR="00454CD3">
      <w:rPr>
        <w:rFonts w:asciiTheme="minorHAnsi" w:hAnsiTheme="minorHAnsi"/>
        <w:sz w:val="18"/>
      </w:rPr>
      <w:tab/>
    </w:r>
    <w:r w:rsidR="00454CD3" w:rsidRPr="009241F2">
      <w:rPr>
        <w:rFonts w:asciiTheme="minorHAnsi" w:hAnsiTheme="minorHAnsi"/>
        <w:sz w:val="18"/>
      </w:rPr>
      <w:t xml:space="preserve">page </w:t>
    </w:r>
    <w:r w:rsidR="00454CD3" w:rsidRPr="009241F2">
      <w:rPr>
        <w:rFonts w:asciiTheme="minorHAnsi" w:hAnsiTheme="minorHAnsi"/>
        <w:sz w:val="18"/>
      </w:rPr>
      <w:fldChar w:fldCharType="begin"/>
    </w:r>
    <w:r w:rsidR="00454CD3" w:rsidRPr="009241F2">
      <w:rPr>
        <w:rFonts w:asciiTheme="minorHAnsi" w:hAnsiTheme="minorHAnsi"/>
        <w:sz w:val="18"/>
      </w:rPr>
      <w:instrText xml:space="preserve"> PAGE  \* Arabic  \* MERGEFORMAT </w:instrText>
    </w:r>
    <w:r w:rsidR="00454CD3" w:rsidRPr="009241F2">
      <w:rPr>
        <w:rFonts w:asciiTheme="minorHAnsi" w:hAnsiTheme="minorHAnsi"/>
        <w:sz w:val="18"/>
      </w:rPr>
      <w:fldChar w:fldCharType="separate"/>
    </w:r>
    <w:r w:rsidR="00B50917">
      <w:rPr>
        <w:rFonts w:asciiTheme="minorHAnsi" w:hAnsiTheme="minorHAnsi"/>
        <w:noProof/>
        <w:sz w:val="18"/>
      </w:rPr>
      <w:t>1</w:t>
    </w:r>
    <w:r w:rsidR="00454CD3" w:rsidRPr="009241F2">
      <w:rPr>
        <w:rFonts w:asciiTheme="minorHAnsi" w:hAnsiTheme="minorHAnsi"/>
        <w:sz w:val="18"/>
      </w:rPr>
      <w:fldChar w:fldCharType="end"/>
    </w:r>
    <w:r w:rsidR="00454CD3" w:rsidRPr="009241F2">
      <w:rPr>
        <w:rFonts w:asciiTheme="minorHAnsi" w:hAnsiTheme="minorHAnsi"/>
        <w:sz w:val="18"/>
      </w:rPr>
      <w:t xml:space="preserve"> of </w:t>
    </w:r>
    <w:r w:rsidR="00454CD3" w:rsidRPr="009241F2">
      <w:rPr>
        <w:rFonts w:asciiTheme="minorHAnsi" w:hAnsiTheme="minorHAnsi"/>
        <w:sz w:val="18"/>
      </w:rPr>
      <w:fldChar w:fldCharType="begin"/>
    </w:r>
    <w:r w:rsidR="00454CD3" w:rsidRPr="009241F2">
      <w:rPr>
        <w:rFonts w:asciiTheme="minorHAnsi" w:hAnsiTheme="minorHAnsi"/>
        <w:sz w:val="18"/>
      </w:rPr>
      <w:instrText xml:space="preserve"> NUMPAGES  \* Arabic  \* MERGEFORMAT </w:instrText>
    </w:r>
    <w:r w:rsidR="00454CD3" w:rsidRPr="009241F2">
      <w:rPr>
        <w:rFonts w:asciiTheme="minorHAnsi" w:hAnsiTheme="minorHAnsi"/>
        <w:sz w:val="18"/>
      </w:rPr>
      <w:fldChar w:fldCharType="separate"/>
    </w:r>
    <w:r w:rsidR="00B50917">
      <w:rPr>
        <w:rFonts w:asciiTheme="minorHAnsi" w:hAnsiTheme="minorHAnsi"/>
        <w:noProof/>
        <w:sz w:val="18"/>
      </w:rPr>
      <w:t>13</w:t>
    </w:r>
    <w:r w:rsidR="00454CD3" w:rsidRPr="009241F2">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EB" w:rsidRDefault="001250EB" w:rsidP="00EC3449">
      <w:pPr>
        <w:spacing w:after="0"/>
      </w:pPr>
      <w:r>
        <w:separator/>
      </w:r>
    </w:p>
  </w:footnote>
  <w:footnote w:type="continuationSeparator" w:id="0">
    <w:p w:rsidR="001250EB" w:rsidRDefault="001250EB" w:rsidP="00EC3449">
      <w:pPr>
        <w:spacing w:after="0"/>
      </w:pPr>
      <w:r>
        <w:continuationSeparator/>
      </w:r>
    </w:p>
  </w:footnote>
  <w:footnote w:id="1">
    <w:p w:rsidR="0028466D" w:rsidRDefault="0028466D">
      <w:pPr>
        <w:pStyle w:val="FootnoteText"/>
      </w:pPr>
      <w:r>
        <w:rPr>
          <w:rStyle w:val="FootnoteReference"/>
        </w:rPr>
        <w:footnoteRef/>
      </w:r>
      <w:r>
        <w:t xml:space="preserve"> </w:t>
      </w:r>
      <w:r w:rsidR="00CA468B">
        <w:t>The Preferred Alternative also includes s</w:t>
      </w:r>
      <w:r w:rsidRPr="0028466D">
        <w:t>ummer low flow experiments</w:t>
      </w:r>
      <w:r w:rsidR="00CA468B">
        <w:t xml:space="preserve">. However, these will not be attempted until during the second 10 years of implementation of the LTEMP. </w:t>
      </w:r>
      <w:r w:rsidR="0002606D">
        <w:t>T</w:t>
      </w:r>
      <w:r w:rsidR="00CA468B">
        <w:t>he present Knowledge Assessment must focus on topics that may bear on the Triennial Work Plan for FY 2018-2020</w:t>
      </w:r>
      <w:r w:rsidR="0002606D">
        <w:t>. The present Knowledge Assessment therefore will not address</w:t>
      </w:r>
      <w:r w:rsidR="00CA468B">
        <w:t xml:space="preserve"> the </w:t>
      </w:r>
      <w:r w:rsidR="0002606D">
        <w:t xml:space="preserve">potential effects of </w:t>
      </w:r>
      <w:r w:rsidR="00CA468B">
        <w:t>summer low-flow experiments</w:t>
      </w:r>
      <w:r w:rsidR="0002606D">
        <w:t>.</w:t>
      </w:r>
    </w:p>
  </w:footnote>
  <w:footnote w:id="2">
    <w:p w:rsidR="00CA468B" w:rsidRDefault="00CA468B">
      <w:pPr>
        <w:pStyle w:val="FootnoteText"/>
      </w:pPr>
      <w:r>
        <w:rPr>
          <w:rStyle w:val="FootnoteReference"/>
        </w:rPr>
        <w:footnoteRef/>
      </w:r>
      <w:r>
        <w:t xml:space="preserve"> HFE: High flow experiment</w:t>
      </w:r>
    </w:p>
  </w:footnote>
  <w:footnote w:id="3">
    <w:p w:rsidR="00CA468B" w:rsidRDefault="00CA468B">
      <w:pPr>
        <w:pStyle w:val="FootnoteText"/>
      </w:pPr>
      <w:r>
        <w:rPr>
          <w:rStyle w:val="FootnoteReference"/>
        </w:rPr>
        <w:footnoteRef/>
      </w:r>
      <w:r>
        <w:t xml:space="preserve"> LCR: Little Colorado River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177"/>
    <w:multiLevelType w:val="hybridMultilevel"/>
    <w:tmpl w:val="899A7014"/>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
    <w:nsid w:val="064F4434"/>
    <w:multiLevelType w:val="hybridMultilevel"/>
    <w:tmpl w:val="912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583"/>
    <w:multiLevelType w:val="hybridMultilevel"/>
    <w:tmpl w:val="3C6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A5FFF"/>
    <w:multiLevelType w:val="hybridMultilevel"/>
    <w:tmpl w:val="E9C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D2AFF"/>
    <w:multiLevelType w:val="hybridMultilevel"/>
    <w:tmpl w:val="64EA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932CE"/>
    <w:multiLevelType w:val="hybridMultilevel"/>
    <w:tmpl w:val="2072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579FC"/>
    <w:multiLevelType w:val="hybridMultilevel"/>
    <w:tmpl w:val="2072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90748"/>
    <w:multiLevelType w:val="hybridMultilevel"/>
    <w:tmpl w:val="70563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4211D"/>
    <w:multiLevelType w:val="hybridMultilevel"/>
    <w:tmpl w:val="0194F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CC0EA"/>
    <w:multiLevelType w:val="hybridMultilevel"/>
    <w:tmpl w:val="17D8A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8900D35"/>
    <w:multiLevelType w:val="hybridMultilevel"/>
    <w:tmpl w:val="AF3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00AB1"/>
    <w:multiLevelType w:val="hybridMultilevel"/>
    <w:tmpl w:val="B09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045EB"/>
    <w:multiLevelType w:val="hybridMultilevel"/>
    <w:tmpl w:val="2072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02BE5"/>
    <w:multiLevelType w:val="hybridMultilevel"/>
    <w:tmpl w:val="7640FD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53028"/>
    <w:multiLevelType w:val="hybridMultilevel"/>
    <w:tmpl w:val="6A2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B3019"/>
    <w:multiLevelType w:val="hybridMultilevel"/>
    <w:tmpl w:val="D44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1"/>
  </w:num>
  <w:num w:numId="5">
    <w:abstractNumId w:val="4"/>
  </w:num>
  <w:num w:numId="6">
    <w:abstractNumId w:val="10"/>
  </w:num>
  <w:num w:numId="7">
    <w:abstractNumId w:val="7"/>
  </w:num>
  <w:num w:numId="8">
    <w:abstractNumId w:val="13"/>
  </w:num>
  <w:num w:numId="9">
    <w:abstractNumId w:val="1"/>
  </w:num>
  <w:num w:numId="10">
    <w:abstractNumId w:val="9"/>
  </w:num>
  <w:num w:numId="11">
    <w:abstractNumId w:val="2"/>
  </w:num>
  <w:num w:numId="12">
    <w:abstractNumId w:val="14"/>
  </w:num>
  <w:num w:numId="13">
    <w:abstractNumId w:val="0"/>
  </w:num>
  <w:num w:numId="14">
    <w:abstractNumId w:val="12"/>
  </w:num>
  <w:num w:numId="15">
    <w:abstractNumId w:val="6"/>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th Shanahan">
    <w15:presenceInfo w15:providerId="AD" w15:userId="S-1-5-21-2041921852-553933441-806110124-16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39"/>
    <w:rsid w:val="00002B93"/>
    <w:rsid w:val="000031A2"/>
    <w:rsid w:val="00005A07"/>
    <w:rsid w:val="00013770"/>
    <w:rsid w:val="0001440E"/>
    <w:rsid w:val="00021A34"/>
    <w:rsid w:val="0002606D"/>
    <w:rsid w:val="00027E3D"/>
    <w:rsid w:val="000345B0"/>
    <w:rsid w:val="00034CF1"/>
    <w:rsid w:val="000377FA"/>
    <w:rsid w:val="00041CE3"/>
    <w:rsid w:val="00047D7F"/>
    <w:rsid w:val="000554AE"/>
    <w:rsid w:val="00071A33"/>
    <w:rsid w:val="000759E5"/>
    <w:rsid w:val="00077305"/>
    <w:rsid w:val="000805EB"/>
    <w:rsid w:val="000955DD"/>
    <w:rsid w:val="000A29EB"/>
    <w:rsid w:val="000B6617"/>
    <w:rsid w:val="000B77A0"/>
    <w:rsid w:val="000C1771"/>
    <w:rsid w:val="000D1466"/>
    <w:rsid w:val="000D63A4"/>
    <w:rsid w:val="000D668D"/>
    <w:rsid w:val="000E1D54"/>
    <w:rsid w:val="000E303E"/>
    <w:rsid w:val="000E5CAE"/>
    <w:rsid w:val="0011175C"/>
    <w:rsid w:val="00112B13"/>
    <w:rsid w:val="0011450E"/>
    <w:rsid w:val="00117494"/>
    <w:rsid w:val="001250EB"/>
    <w:rsid w:val="001257BF"/>
    <w:rsid w:val="00130BEF"/>
    <w:rsid w:val="001354E6"/>
    <w:rsid w:val="00141BE9"/>
    <w:rsid w:val="00145927"/>
    <w:rsid w:val="00154899"/>
    <w:rsid w:val="00175D85"/>
    <w:rsid w:val="00195D2F"/>
    <w:rsid w:val="001969D5"/>
    <w:rsid w:val="001A1F9F"/>
    <w:rsid w:val="001B7936"/>
    <w:rsid w:val="001C1C8A"/>
    <w:rsid w:val="001C5E2C"/>
    <w:rsid w:val="001C61B7"/>
    <w:rsid w:val="001F68AC"/>
    <w:rsid w:val="00204603"/>
    <w:rsid w:val="0020759F"/>
    <w:rsid w:val="002078EE"/>
    <w:rsid w:val="00222B49"/>
    <w:rsid w:val="002235BC"/>
    <w:rsid w:val="00230180"/>
    <w:rsid w:val="00231C5C"/>
    <w:rsid w:val="002334A6"/>
    <w:rsid w:val="00234E87"/>
    <w:rsid w:val="00235D09"/>
    <w:rsid w:val="00247C95"/>
    <w:rsid w:val="0027132C"/>
    <w:rsid w:val="00275E46"/>
    <w:rsid w:val="00280B72"/>
    <w:rsid w:val="002837D9"/>
    <w:rsid w:val="0028466D"/>
    <w:rsid w:val="002860C4"/>
    <w:rsid w:val="00294516"/>
    <w:rsid w:val="002B5031"/>
    <w:rsid w:val="002B6556"/>
    <w:rsid w:val="002C2BEF"/>
    <w:rsid w:val="002D0E2A"/>
    <w:rsid w:val="002D319B"/>
    <w:rsid w:val="002D37B8"/>
    <w:rsid w:val="002D7FAB"/>
    <w:rsid w:val="002E2B94"/>
    <w:rsid w:val="002E4088"/>
    <w:rsid w:val="002F08CD"/>
    <w:rsid w:val="00316FF9"/>
    <w:rsid w:val="00321C19"/>
    <w:rsid w:val="00325C84"/>
    <w:rsid w:val="003260E8"/>
    <w:rsid w:val="00327DA2"/>
    <w:rsid w:val="0033053C"/>
    <w:rsid w:val="00331043"/>
    <w:rsid w:val="003342F9"/>
    <w:rsid w:val="00340A00"/>
    <w:rsid w:val="00361537"/>
    <w:rsid w:val="00367D96"/>
    <w:rsid w:val="0037411F"/>
    <w:rsid w:val="00374175"/>
    <w:rsid w:val="003750FA"/>
    <w:rsid w:val="00376049"/>
    <w:rsid w:val="003851AF"/>
    <w:rsid w:val="003972CE"/>
    <w:rsid w:val="003A4C6E"/>
    <w:rsid w:val="003B6BCE"/>
    <w:rsid w:val="003B7E59"/>
    <w:rsid w:val="003F4D14"/>
    <w:rsid w:val="00401FA4"/>
    <w:rsid w:val="004251C9"/>
    <w:rsid w:val="00430D33"/>
    <w:rsid w:val="004344A2"/>
    <w:rsid w:val="00453F22"/>
    <w:rsid w:val="00454CD3"/>
    <w:rsid w:val="00463E33"/>
    <w:rsid w:val="00463EA6"/>
    <w:rsid w:val="00465D19"/>
    <w:rsid w:val="00483E4E"/>
    <w:rsid w:val="00483F74"/>
    <w:rsid w:val="00495620"/>
    <w:rsid w:val="004957FC"/>
    <w:rsid w:val="004A3737"/>
    <w:rsid w:val="004C75E7"/>
    <w:rsid w:val="004D7FF5"/>
    <w:rsid w:val="004E5D6C"/>
    <w:rsid w:val="004E6383"/>
    <w:rsid w:val="004E7FE0"/>
    <w:rsid w:val="004F3ED7"/>
    <w:rsid w:val="00506905"/>
    <w:rsid w:val="00507EB5"/>
    <w:rsid w:val="00517BC8"/>
    <w:rsid w:val="00522512"/>
    <w:rsid w:val="00525408"/>
    <w:rsid w:val="00532210"/>
    <w:rsid w:val="005339D5"/>
    <w:rsid w:val="00534EA3"/>
    <w:rsid w:val="00541DAA"/>
    <w:rsid w:val="00551CBB"/>
    <w:rsid w:val="00567C1B"/>
    <w:rsid w:val="00571C08"/>
    <w:rsid w:val="0057556E"/>
    <w:rsid w:val="005826A9"/>
    <w:rsid w:val="005959E9"/>
    <w:rsid w:val="005B4D18"/>
    <w:rsid w:val="005C2A3B"/>
    <w:rsid w:val="005D2730"/>
    <w:rsid w:val="005D5945"/>
    <w:rsid w:val="00600F0A"/>
    <w:rsid w:val="00604552"/>
    <w:rsid w:val="00611B2E"/>
    <w:rsid w:val="00616840"/>
    <w:rsid w:val="00623D2C"/>
    <w:rsid w:val="00635181"/>
    <w:rsid w:val="006624D4"/>
    <w:rsid w:val="006703CD"/>
    <w:rsid w:val="006726ED"/>
    <w:rsid w:val="00684F22"/>
    <w:rsid w:val="0069013A"/>
    <w:rsid w:val="006A09B2"/>
    <w:rsid w:val="006A11DC"/>
    <w:rsid w:val="006A4539"/>
    <w:rsid w:val="006C3B52"/>
    <w:rsid w:val="006D7608"/>
    <w:rsid w:val="006E0ED7"/>
    <w:rsid w:val="00706624"/>
    <w:rsid w:val="007113F7"/>
    <w:rsid w:val="007162AC"/>
    <w:rsid w:val="00720886"/>
    <w:rsid w:val="00722919"/>
    <w:rsid w:val="00726121"/>
    <w:rsid w:val="00741F81"/>
    <w:rsid w:val="00743BE5"/>
    <w:rsid w:val="00755832"/>
    <w:rsid w:val="00767689"/>
    <w:rsid w:val="0077060D"/>
    <w:rsid w:val="00772126"/>
    <w:rsid w:val="00772701"/>
    <w:rsid w:val="00773182"/>
    <w:rsid w:val="00787719"/>
    <w:rsid w:val="00791494"/>
    <w:rsid w:val="00791584"/>
    <w:rsid w:val="007917CF"/>
    <w:rsid w:val="00791B46"/>
    <w:rsid w:val="00792482"/>
    <w:rsid w:val="0079629B"/>
    <w:rsid w:val="00796FC3"/>
    <w:rsid w:val="007A7CFA"/>
    <w:rsid w:val="007B7F39"/>
    <w:rsid w:val="007D1846"/>
    <w:rsid w:val="007D3186"/>
    <w:rsid w:val="007D3B8F"/>
    <w:rsid w:val="007D60D3"/>
    <w:rsid w:val="007E01E4"/>
    <w:rsid w:val="007E4BB3"/>
    <w:rsid w:val="008031F7"/>
    <w:rsid w:val="00804A7A"/>
    <w:rsid w:val="00805A0E"/>
    <w:rsid w:val="00807B0F"/>
    <w:rsid w:val="00814F6A"/>
    <w:rsid w:val="00824112"/>
    <w:rsid w:val="00840D9A"/>
    <w:rsid w:val="00842630"/>
    <w:rsid w:val="00851A50"/>
    <w:rsid w:val="0085796A"/>
    <w:rsid w:val="00861A51"/>
    <w:rsid w:val="008632F8"/>
    <w:rsid w:val="00872EF2"/>
    <w:rsid w:val="00880079"/>
    <w:rsid w:val="0088341B"/>
    <w:rsid w:val="00885428"/>
    <w:rsid w:val="0089241C"/>
    <w:rsid w:val="00894AF2"/>
    <w:rsid w:val="008A07B6"/>
    <w:rsid w:val="008A49BC"/>
    <w:rsid w:val="008B0359"/>
    <w:rsid w:val="008B0574"/>
    <w:rsid w:val="008D6E6F"/>
    <w:rsid w:val="008F283B"/>
    <w:rsid w:val="008F37DF"/>
    <w:rsid w:val="008F5EDE"/>
    <w:rsid w:val="008F6341"/>
    <w:rsid w:val="008F64CD"/>
    <w:rsid w:val="008F7903"/>
    <w:rsid w:val="009104DC"/>
    <w:rsid w:val="00912DBF"/>
    <w:rsid w:val="0091365A"/>
    <w:rsid w:val="009204F3"/>
    <w:rsid w:val="009221BB"/>
    <w:rsid w:val="009241F2"/>
    <w:rsid w:val="00947E78"/>
    <w:rsid w:val="0095374D"/>
    <w:rsid w:val="00957352"/>
    <w:rsid w:val="0096372C"/>
    <w:rsid w:val="00964807"/>
    <w:rsid w:val="009665D6"/>
    <w:rsid w:val="009970B0"/>
    <w:rsid w:val="009A3575"/>
    <w:rsid w:val="009D02E8"/>
    <w:rsid w:val="009D52EC"/>
    <w:rsid w:val="009D5738"/>
    <w:rsid w:val="009D7691"/>
    <w:rsid w:val="009E0293"/>
    <w:rsid w:val="00A02213"/>
    <w:rsid w:val="00A211F8"/>
    <w:rsid w:val="00A225C1"/>
    <w:rsid w:val="00A25701"/>
    <w:rsid w:val="00A26273"/>
    <w:rsid w:val="00A30D5A"/>
    <w:rsid w:val="00A3547D"/>
    <w:rsid w:val="00A6075F"/>
    <w:rsid w:val="00A65A48"/>
    <w:rsid w:val="00A83D5A"/>
    <w:rsid w:val="00A91006"/>
    <w:rsid w:val="00A957B6"/>
    <w:rsid w:val="00AB07BC"/>
    <w:rsid w:val="00AE35B7"/>
    <w:rsid w:val="00AF2D7E"/>
    <w:rsid w:val="00AF5672"/>
    <w:rsid w:val="00AF734A"/>
    <w:rsid w:val="00B04420"/>
    <w:rsid w:val="00B138FE"/>
    <w:rsid w:val="00B24B96"/>
    <w:rsid w:val="00B454B6"/>
    <w:rsid w:val="00B50917"/>
    <w:rsid w:val="00B617CF"/>
    <w:rsid w:val="00B630F1"/>
    <w:rsid w:val="00B6777E"/>
    <w:rsid w:val="00B85845"/>
    <w:rsid w:val="00BA00CA"/>
    <w:rsid w:val="00BE1843"/>
    <w:rsid w:val="00BF197A"/>
    <w:rsid w:val="00BF6E5B"/>
    <w:rsid w:val="00C20731"/>
    <w:rsid w:val="00C212A3"/>
    <w:rsid w:val="00C25C62"/>
    <w:rsid w:val="00C27B51"/>
    <w:rsid w:val="00C333C9"/>
    <w:rsid w:val="00C339BC"/>
    <w:rsid w:val="00C35198"/>
    <w:rsid w:val="00C35A3B"/>
    <w:rsid w:val="00C3787D"/>
    <w:rsid w:val="00C4694F"/>
    <w:rsid w:val="00C6332D"/>
    <w:rsid w:val="00C658A9"/>
    <w:rsid w:val="00C65BE3"/>
    <w:rsid w:val="00C66C63"/>
    <w:rsid w:val="00C74E57"/>
    <w:rsid w:val="00C761C2"/>
    <w:rsid w:val="00C771B9"/>
    <w:rsid w:val="00C855E3"/>
    <w:rsid w:val="00C905A6"/>
    <w:rsid w:val="00CA468B"/>
    <w:rsid w:val="00CC440F"/>
    <w:rsid w:val="00CE008E"/>
    <w:rsid w:val="00CE327F"/>
    <w:rsid w:val="00CF139E"/>
    <w:rsid w:val="00CF171A"/>
    <w:rsid w:val="00CF2213"/>
    <w:rsid w:val="00CF745D"/>
    <w:rsid w:val="00CF7B55"/>
    <w:rsid w:val="00D011D6"/>
    <w:rsid w:val="00D1345A"/>
    <w:rsid w:val="00D33C48"/>
    <w:rsid w:val="00D47218"/>
    <w:rsid w:val="00D55339"/>
    <w:rsid w:val="00D56DFD"/>
    <w:rsid w:val="00D56F88"/>
    <w:rsid w:val="00D57BE2"/>
    <w:rsid w:val="00D6009B"/>
    <w:rsid w:val="00D630BA"/>
    <w:rsid w:val="00D7056F"/>
    <w:rsid w:val="00D80174"/>
    <w:rsid w:val="00D914A8"/>
    <w:rsid w:val="00D91BC9"/>
    <w:rsid w:val="00D92A41"/>
    <w:rsid w:val="00DA48DA"/>
    <w:rsid w:val="00DD495A"/>
    <w:rsid w:val="00DF7C5D"/>
    <w:rsid w:val="00E02D58"/>
    <w:rsid w:val="00E12AE1"/>
    <w:rsid w:val="00E2754E"/>
    <w:rsid w:val="00E34DD3"/>
    <w:rsid w:val="00E35B61"/>
    <w:rsid w:val="00E63EA0"/>
    <w:rsid w:val="00E70E5B"/>
    <w:rsid w:val="00E76872"/>
    <w:rsid w:val="00E92C99"/>
    <w:rsid w:val="00E9321C"/>
    <w:rsid w:val="00E9514A"/>
    <w:rsid w:val="00EA4DE7"/>
    <w:rsid w:val="00EA7577"/>
    <w:rsid w:val="00EB4039"/>
    <w:rsid w:val="00EB6DC1"/>
    <w:rsid w:val="00EB7CE3"/>
    <w:rsid w:val="00EC3449"/>
    <w:rsid w:val="00ED7075"/>
    <w:rsid w:val="00EE0AA7"/>
    <w:rsid w:val="00F02653"/>
    <w:rsid w:val="00F05120"/>
    <w:rsid w:val="00F11322"/>
    <w:rsid w:val="00F12291"/>
    <w:rsid w:val="00F12A74"/>
    <w:rsid w:val="00F30451"/>
    <w:rsid w:val="00F3334B"/>
    <w:rsid w:val="00F34CEE"/>
    <w:rsid w:val="00F379F1"/>
    <w:rsid w:val="00F5007F"/>
    <w:rsid w:val="00F637F2"/>
    <w:rsid w:val="00F80CE9"/>
    <w:rsid w:val="00F81D12"/>
    <w:rsid w:val="00F82212"/>
    <w:rsid w:val="00F843CC"/>
    <w:rsid w:val="00F8596B"/>
    <w:rsid w:val="00F902F7"/>
    <w:rsid w:val="00FA56DB"/>
    <w:rsid w:val="00FB1B79"/>
    <w:rsid w:val="00FC0DF2"/>
    <w:rsid w:val="00FD1318"/>
    <w:rsid w:val="00FE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CA"/>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434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31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1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65D6"/>
    <w:pPr>
      <w:ind w:left="720"/>
      <w:contextualSpacing/>
    </w:pPr>
  </w:style>
  <w:style w:type="character" w:customStyle="1" w:styleId="Heading1Char">
    <w:name w:val="Heading 1 Char"/>
    <w:basedOn w:val="DefaultParagraphFont"/>
    <w:link w:val="Heading1"/>
    <w:uiPriority w:val="9"/>
    <w:rsid w:val="004344A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86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C4"/>
    <w:rPr>
      <w:rFonts w:ascii="Tahoma" w:hAnsi="Tahoma" w:cs="Tahoma"/>
      <w:sz w:val="16"/>
      <w:szCs w:val="16"/>
    </w:rPr>
  </w:style>
  <w:style w:type="table" w:styleId="TableGrid">
    <w:name w:val="Table Grid"/>
    <w:basedOn w:val="TableNormal"/>
    <w:uiPriority w:val="59"/>
    <w:rsid w:val="00551CB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8F5E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84F22"/>
    <w:rPr>
      <w:color w:val="0000FF" w:themeColor="hyperlink"/>
      <w:u w:val="single"/>
    </w:rPr>
  </w:style>
  <w:style w:type="paragraph" w:styleId="FootnoteText">
    <w:name w:val="footnote text"/>
    <w:basedOn w:val="Normal"/>
    <w:link w:val="FootnoteTextChar"/>
    <w:uiPriority w:val="99"/>
    <w:semiHidden/>
    <w:unhideWhenUsed/>
    <w:rsid w:val="00EC3449"/>
    <w:pPr>
      <w:spacing w:after="0"/>
    </w:pPr>
    <w:rPr>
      <w:sz w:val="20"/>
      <w:szCs w:val="20"/>
    </w:rPr>
  </w:style>
  <w:style w:type="character" w:customStyle="1" w:styleId="FootnoteTextChar">
    <w:name w:val="Footnote Text Char"/>
    <w:basedOn w:val="DefaultParagraphFont"/>
    <w:link w:val="FootnoteText"/>
    <w:uiPriority w:val="99"/>
    <w:semiHidden/>
    <w:rsid w:val="00EC3449"/>
    <w:rPr>
      <w:rFonts w:ascii="Times New Roman" w:hAnsi="Times New Roman"/>
      <w:sz w:val="20"/>
      <w:szCs w:val="20"/>
    </w:rPr>
  </w:style>
  <w:style w:type="character" w:styleId="FootnoteReference">
    <w:name w:val="footnote reference"/>
    <w:basedOn w:val="DefaultParagraphFont"/>
    <w:uiPriority w:val="99"/>
    <w:semiHidden/>
    <w:unhideWhenUsed/>
    <w:rsid w:val="00EC3449"/>
    <w:rPr>
      <w:vertAlign w:val="superscript"/>
    </w:rPr>
  </w:style>
  <w:style w:type="paragraph" w:styleId="Header">
    <w:name w:val="header"/>
    <w:basedOn w:val="Normal"/>
    <w:link w:val="HeaderChar"/>
    <w:uiPriority w:val="99"/>
    <w:unhideWhenUsed/>
    <w:rsid w:val="00D80174"/>
    <w:pPr>
      <w:tabs>
        <w:tab w:val="center" w:pos="4680"/>
        <w:tab w:val="right" w:pos="9360"/>
      </w:tabs>
      <w:spacing w:after="0"/>
    </w:pPr>
  </w:style>
  <w:style w:type="character" w:customStyle="1" w:styleId="HeaderChar">
    <w:name w:val="Header Char"/>
    <w:basedOn w:val="DefaultParagraphFont"/>
    <w:link w:val="Header"/>
    <w:uiPriority w:val="99"/>
    <w:rsid w:val="00D80174"/>
    <w:rPr>
      <w:rFonts w:ascii="Times New Roman" w:hAnsi="Times New Roman"/>
      <w:sz w:val="24"/>
    </w:rPr>
  </w:style>
  <w:style w:type="paragraph" w:styleId="Footer">
    <w:name w:val="footer"/>
    <w:basedOn w:val="Normal"/>
    <w:link w:val="FooterChar"/>
    <w:uiPriority w:val="99"/>
    <w:unhideWhenUsed/>
    <w:rsid w:val="00D80174"/>
    <w:pPr>
      <w:tabs>
        <w:tab w:val="center" w:pos="4680"/>
        <w:tab w:val="right" w:pos="9360"/>
      </w:tabs>
      <w:spacing w:after="0"/>
    </w:pPr>
  </w:style>
  <w:style w:type="character" w:customStyle="1" w:styleId="FooterChar">
    <w:name w:val="Footer Char"/>
    <w:basedOn w:val="DefaultParagraphFont"/>
    <w:link w:val="Footer"/>
    <w:uiPriority w:val="99"/>
    <w:rsid w:val="00D80174"/>
    <w:rPr>
      <w:rFonts w:ascii="Times New Roman" w:hAnsi="Times New Roman"/>
      <w:sz w:val="24"/>
    </w:rPr>
  </w:style>
  <w:style w:type="paragraph" w:customStyle="1" w:styleId="References">
    <w:name w:val="References"/>
    <w:basedOn w:val="Normal"/>
    <w:qFormat/>
    <w:rsid w:val="006726ED"/>
    <w:pPr>
      <w:spacing w:before="240" w:after="240"/>
      <w:ind w:left="480" w:hanging="480"/>
    </w:pPr>
    <w:rPr>
      <w:rFonts w:eastAsia="Times New Roman" w:cs="Times New Roman"/>
      <w:szCs w:val="24"/>
    </w:rPr>
  </w:style>
  <w:style w:type="paragraph" w:customStyle="1" w:styleId="Hyperlink2">
    <w:name w:val="Hyperlink2"/>
    <w:basedOn w:val="NormalWeb"/>
    <w:link w:val="Hyperlink2Char"/>
    <w:qFormat/>
    <w:rsid w:val="006726ED"/>
    <w:pPr>
      <w:spacing w:before="100" w:beforeAutospacing="1" w:after="100" w:afterAutospacing="1"/>
      <w:ind w:left="480" w:hanging="480"/>
    </w:pPr>
    <w:rPr>
      <w:rFonts w:eastAsia="Times New Roman"/>
      <w:color w:val="0000FF"/>
      <w:u w:val="single"/>
    </w:rPr>
  </w:style>
  <w:style w:type="character" w:customStyle="1" w:styleId="Hyperlink2Char">
    <w:name w:val="Hyperlink2 Char"/>
    <w:basedOn w:val="DefaultParagraphFont"/>
    <w:link w:val="Hyperlink2"/>
    <w:rsid w:val="006726ED"/>
    <w:rPr>
      <w:rFonts w:ascii="Times New Roman" w:eastAsia="Times New Roman" w:hAnsi="Times New Roman" w:cs="Times New Roman"/>
      <w:color w:val="0000FF"/>
      <w:sz w:val="24"/>
      <w:szCs w:val="24"/>
      <w:u w:val="single"/>
    </w:rPr>
  </w:style>
  <w:style w:type="paragraph" w:styleId="NormalWeb">
    <w:name w:val="Normal (Web)"/>
    <w:basedOn w:val="Normal"/>
    <w:uiPriority w:val="99"/>
    <w:semiHidden/>
    <w:unhideWhenUsed/>
    <w:rsid w:val="006726ED"/>
    <w:rPr>
      <w:rFonts w:cs="Times New Roman"/>
      <w:szCs w:val="24"/>
    </w:rPr>
  </w:style>
  <w:style w:type="character" w:styleId="FollowedHyperlink">
    <w:name w:val="FollowedHyperlink"/>
    <w:basedOn w:val="DefaultParagraphFont"/>
    <w:uiPriority w:val="99"/>
    <w:semiHidden/>
    <w:unhideWhenUsed/>
    <w:rsid w:val="0095374D"/>
    <w:rPr>
      <w:color w:val="800080" w:themeColor="followedHyperlink"/>
      <w:u w:val="single"/>
    </w:rPr>
  </w:style>
  <w:style w:type="paragraph" w:customStyle="1" w:styleId="Default">
    <w:name w:val="Default"/>
    <w:rsid w:val="009D02E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CA"/>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434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31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31A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65D6"/>
    <w:pPr>
      <w:ind w:left="720"/>
      <w:contextualSpacing/>
    </w:pPr>
  </w:style>
  <w:style w:type="character" w:customStyle="1" w:styleId="Heading1Char">
    <w:name w:val="Heading 1 Char"/>
    <w:basedOn w:val="DefaultParagraphFont"/>
    <w:link w:val="Heading1"/>
    <w:uiPriority w:val="9"/>
    <w:rsid w:val="004344A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86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C4"/>
    <w:rPr>
      <w:rFonts w:ascii="Tahoma" w:hAnsi="Tahoma" w:cs="Tahoma"/>
      <w:sz w:val="16"/>
      <w:szCs w:val="16"/>
    </w:rPr>
  </w:style>
  <w:style w:type="table" w:styleId="TableGrid">
    <w:name w:val="Table Grid"/>
    <w:basedOn w:val="TableNormal"/>
    <w:uiPriority w:val="59"/>
    <w:rsid w:val="00551CB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8F5E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84F22"/>
    <w:rPr>
      <w:color w:val="0000FF" w:themeColor="hyperlink"/>
      <w:u w:val="single"/>
    </w:rPr>
  </w:style>
  <w:style w:type="paragraph" w:styleId="FootnoteText">
    <w:name w:val="footnote text"/>
    <w:basedOn w:val="Normal"/>
    <w:link w:val="FootnoteTextChar"/>
    <w:uiPriority w:val="99"/>
    <w:semiHidden/>
    <w:unhideWhenUsed/>
    <w:rsid w:val="00EC3449"/>
    <w:pPr>
      <w:spacing w:after="0"/>
    </w:pPr>
    <w:rPr>
      <w:sz w:val="20"/>
      <w:szCs w:val="20"/>
    </w:rPr>
  </w:style>
  <w:style w:type="character" w:customStyle="1" w:styleId="FootnoteTextChar">
    <w:name w:val="Footnote Text Char"/>
    <w:basedOn w:val="DefaultParagraphFont"/>
    <w:link w:val="FootnoteText"/>
    <w:uiPriority w:val="99"/>
    <w:semiHidden/>
    <w:rsid w:val="00EC3449"/>
    <w:rPr>
      <w:rFonts w:ascii="Times New Roman" w:hAnsi="Times New Roman"/>
      <w:sz w:val="20"/>
      <w:szCs w:val="20"/>
    </w:rPr>
  </w:style>
  <w:style w:type="character" w:styleId="FootnoteReference">
    <w:name w:val="footnote reference"/>
    <w:basedOn w:val="DefaultParagraphFont"/>
    <w:uiPriority w:val="99"/>
    <w:semiHidden/>
    <w:unhideWhenUsed/>
    <w:rsid w:val="00EC3449"/>
    <w:rPr>
      <w:vertAlign w:val="superscript"/>
    </w:rPr>
  </w:style>
  <w:style w:type="paragraph" w:styleId="Header">
    <w:name w:val="header"/>
    <w:basedOn w:val="Normal"/>
    <w:link w:val="HeaderChar"/>
    <w:uiPriority w:val="99"/>
    <w:unhideWhenUsed/>
    <w:rsid w:val="00D80174"/>
    <w:pPr>
      <w:tabs>
        <w:tab w:val="center" w:pos="4680"/>
        <w:tab w:val="right" w:pos="9360"/>
      </w:tabs>
      <w:spacing w:after="0"/>
    </w:pPr>
  </w:style>
  <w:style w:type="character" w:customStyle="1" w:styleId="HeaderChar">
    <w:name w:val="Header Char"/>
    <w:basedOn w:val="DefaultParagraphFont"/>
    <w:link w:val="Header"/>
    <w:uiPriority w:val="99"/>
    <w:rsid w:val="00D80174"/>
    <w:rPr>
      <w:rFonts w:ascii="Times New Roman" w:hAnsi="Times New Roman"/>
      <w:sz w:val="24"/>
    </w:rPr>
  </w:style>
  <w:style w:type="paragraph" w:styleId="Footer">
    <w:name w:val="footer"/>
    <w:basedOn w:val="Normal"/>
    <w:link w:val="FooterChar"/>
    <w:uiPriority w:val="99"/>
    <w:unhideWhenUsed/>
    <w:rsid w:val="00D80174"/>
    <w:pPr>
      <w:tabs>
        <w:tab w:val="center" w:pos="4680"/>
        <w:tab w:val="right" w:pos="9360"/>
      </w:tabs>
      <w:spacing w:after="0"/>
    </w:pPr>
  </w:style>
  <w:style w:type="character" w:customStyle="1" w:styleId="FooterChar">
    <w:name w:val="Footer Char"/>
    <w:basedOn w:val="DefaultParagraphFont"/>
    <w:link w:val="Footer"/>
    <w:uiPriority w:val="99"/>
    <w:rsid w:val="00D80174"/>
    <w:rPr>
      <w:rFonts w:ascii="Times New Roman" w:hAnsi="Times New Roman"/>
      <w:sz w:val="24"/>
    </w:rPr>
  </w:style>
  <w:style w:type="paragraph" w:customStyle="1" w:styleId="References">
    <w:name w:val="References"/>
    <w:basedOn w:val="Normal"/>
    <w:qFormat/>
    <w:rsid w:val="006726ED"/>
    <w:pPr>
      <w:spacing w:before="240" w:after="240"/>
      <w:ind w:left="480" w:hanging="480"/>
    </w:pPr>
    <w:rPr>
      <w:rFonts w:eastAsia="Times New Roman" w:cs="Times New Roman"/>
      <w:szCs w:val="24"/>
    </w:rPr>
  </w:style>
  <w:style w:type="paragraph" w:customStyle="1" w:styleId="Hyperlink2">
    <w:name w:val="Hyperlink2"/>
    <w:basedOn w:val="NormalWeb"/>
    <w:link w:val="Hyperlink2Char"/>
    <w:qFormat/>
    <w:rsid w:val="006726ED"/>
    <w:pPr>
      <w:spacing w:before="100" w:beforeAutospacing="1" w:after="100" w:afterAutospacing="1"/>
      <w:ind w:left="480" w:hanging="480"/>
    </w:pPr>
    <w:rPr>
      <w:rFonts w:eastAsia="Times New Roman"/>
      <w:color w:val="0000FF"/>
      <w:u w:val="single"/>
    </w:rPr>
  </w:style>
  <w:style w:type="character" w:customStyle="1" w:styleId="Hyperlink2Char">
    <w:name w:val="Hyperlink2 Char"/>
    <w:basedOn w:val="DefaultParagraphFont"/>
    <w:link w:val="Hyperlink2"/>
    <w:rsid w:val="006726ED"/>
    <w:rPr>
      <w:rFonts w:ascii="Times New Roman" w:eastAsia="Times New Roman" w:hAnsi="Times New Roman" w:cs="Times New Roman"/>
      <w:color w:val="0000FF"/>
      <w:sz w:val="24"/>
      <w:szCs w:val="24"/>
      <w:u w:val="single"/>
    </w:rPr>
  </w:style>
  <w:style w:type="paragraph" w:styleId="NormalWeb">
    <w:name w:val="Normal (Web)"/>
    <w:basedOn w:val="Normal"/>
    <w:uiPriority w:val="99"/>
    <w:semiHidden/>
    <w:unhideWhenUsed/>
    <w:rsid w:val="006726ED"/>
    <w:rPr>
      <w:rFonts w:cs="Times New Roman"/>
      <w:szCs w:val="24"/>
    </w:rPr>
  </w:style>
  <w:style w:type="character" w:styleId="FollowedHyperlink">
    <w:name w:val="FollowedHyperlink"/>
    <w:basedOn w:val="DefaultParagraphFont"/>
    <w:uiPriority w:val="99"/>
    <w:semiHidden/>
    <w:unhideWhenUsed/>
    <w:rsid w:val="0095374D"/>
    <w:rPr>
      <w:color w:val="800080" w:themeColor="followedHyperlink"/>
      <w:u w:val="single"/>
    </w:rPr>
  </w:style>
  <w:style w:type="paragraph" w:customStyle="1" w:styleId="Default">
    <w:name w:val="Default"/>
    <w:rsid w:val="009D02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ure.nps.gov/water/nrca/"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www.dfg.ca.gov/ERP/%20conceptual_models.asp" TargetMode="External"/><Relationship Id="rId2" Type="http://schemas.openxmlformats.org/officeDocument/2006/relationships/numbering" Target="numbering.xml"/><Relationship Id="rId16" Type="http://schemas.openxmlformats.org/officeDocument/2006/relationships/hyperlink" Target="http://www.nature.nps.gov/water/nrca/" TargetMode="External"/><Relationship Id="rId20" Type="http://schemas.openxmlformats.org/officeDocument/2006/relationships/hyperlink" Target="http://www.nature.nps.gov/water/nrca/index.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fg.ca.gov/ERP/%20conceptual_models.asp" TargetMode="Externa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nature.nps.gov/water/nrca/" TargetMode="External"/><Relationship Id="rId19" Type="http://schemas.openxmlformats.org/officeDocument/2006/relationships/hyperlink" Target="http://escholarship.org/uc/item/3j95x7v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dfg.ca.gov/ERP/%20conceptual_model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A489-A498-4944-AC74-7AB8406A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13</Pages>
  <Words>5448</Words>
  <Characters>31056</Characters>
  <Application>Microsoft Office Word</Application>
  <DocSecurity>0</DocSecurity>
  <PresentationFormat>14|.DOCX</PresentationFormat>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Braun</dc:creator>
  <cp:lastModifiedBy>David P Braun</cp:lastModifiedBy>
  <cp:revision>11</cp:revision>
  <dcterms:created xsi:type="dcterms:W3CDTF">2016-11-04T14:07:00Z</dcterms:created>
  <dcterms:modified xsi:type="dcterms:W3CDTF">2016-11-11T15:09:00Z</dcterms:modified>
</cp:coreProperties>
</file>