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right" w:tblpY="1"/>
        <w:tblOverlap w:val="never"/>
        <w:tblW w:w="0" w:type="auto"/>
        <w:tblLayout w:type="fixed"/>
        <w:tblCellMar>
          <w:left w:w="0" w:type="dxa"/>
          <w:right w:w="0" w:type="dxa"/>
        </w:tblCellMar>
        <w:tblLook w:val="01E0" w:firstRow="1" w:lastRow="1" w:firstColumn="1" w:lastColumn="1" w:noHBand="0" w:noVBand="0"/>
      </w:tblPr>
      <w:tblGrid>
        <w:gridCol w:w="6930"/>
      </w:tblGrid>
      <w:tr w:rsidR="005A5891" w:rsidTr="006852C1">
        <w:trPr>
          <w:cantSplit/>
          <w:trHeight w:hRule="exact" w:val="1080"/>
        </w:trPr>
        <w:tc>
          <w:tcPr>
            <w:tcW w:w="6930" w:type="dxa"/>
            <w:tcMar>
              <w:top w:w="260" w:type="dxa"/>
            </w:tcMar>
          </w:tcPr>
          <w:p w:rsidR="005A5891" w:rsidRPr="006852C1" w:rsidRDefault="00B74DC3" w:rsidP="006852C1">
            <w:pPr>
              <w:pStyle w:val="ReportNumber"/>
            </w:pPr>
            <w:bookmarkStart w:id="0" w:name="_GoBack"/>
            <w:bookmarkEnd w:id="0"/>
            <w:r>
              <w:t>ANL-XX/XX</w:t>
            </w:r>
          </w:p>
          <w:p w:rsidR="005A5891" w:rsidRDefault="005A5891" w:rsidP="006852C1">
            <w:pPr>
              <w:pStyle w:val="ReportNumber"/>
              <w:keepNext/>
              <w:keepLines/>
              <w:tabs>
                <w:tab w:val="left" w:pos="432"/>
              </w:tabs>
              <w:spacing w:before="100" w:line="280" w:lineRule="exact"/>
              <w:ind w:left="187" w:hanging="187"/>
            </w:pPr>
          </w:p>
        </w:tc>
      </w:tr>
      <w:tr w:rsidR="00A34213" w:rsidTr="006852C1">
        <w:trPr>
          <w:cantSplit/>
          <w:trHeight w:hRule="exact" w:val="1080"/>
        </w:trPr>
        <w:tc>
          <w:tcPr>
            <w:tcW w:w="6930" w:type="dxa"/>
            <w:tcMar>
              <w:top w:w="260" w:type="dxa"/>
            </w:tcMar>
          </w:tcPr>
          <w:p w:rsidR="00A34213" w:rsidRDefault="00A34213" w:rsidP="006852C1">
            <w:pPr>
              <w:pStyle w:val="ReportNumber"/>
            </w:pPr>
          </w:p>
        </w:tc>
      </w:tr>
    </w:tbl>
    <w:p w:rsidR="00F34C73" w:rsidRDefault="000B664D" w:rsidP="00F34C73">
      <w:pPr>
        <w:pStyle w:val="Normal-Arial"/>
      </w:pPr>
      <w:r>
        <w:rPr>
          <w:noProof/>
        </w:rPr>
        <w:drawing>
          <wp:anchor distT="0" distB="0" distL="114300" distR="114300" simplePos="0" relativeHeight="251657216" behindDoc="0" locked="0" layoutInCell="1" allowOverlap="1" wp14:anchorId="36EA8D31" wp14:editId="5F37561C">
            <wp:simplePos x="0" y="0"/>
            <wp:positionH relativeFrom="page">
              <wp:posOffset>685800</wp:posOffset>
            </wp:positionH>
            <wp:positionV relativeFrom="page">
              <wp:posOffset>457200</wp:posOffset>
            </wp:positionV>
            <wp:extent cx="1828800" cy="685800"/>
            <wp:effectExtent l="0" t="0" r="0" b="0"/>
            <wp:wrapNone/>
            <wp:docPr id="7" name="Picture 7" descr="ANL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L_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C73" w:rsidRDefault="00F34C73" w:rsidP="00F34C73">
      <w:pPr>
        <w:pStyle w:val="Normal-Arial"/>
      </w:pPr>
    </w:p>
    <w:p w:rsidR="00F34C73" w:rsidRDefault="00F34C73" w:rsidP="00F34C73">
      <w:pPr>
        <w:pStyle w:val="Normal-Arial"/>
      </w:pPr>
    </w:p>
    <w:p w:rsidR="00F34C73" w:rsidRDefault="00F34C73" w:rsidP="00F34C73">
      <w:pPr>
        <w:pStyle w:val="Normal-Arial"/>
      </w:pPr>
    </w:p>
    <w:p w:rsidR="00F34C73" w:rsidRDefault="00F34C73" w:rsidP="00F34C73">
      <w:pPr>
        <w:pStyle w:val="Normal-Arial"/>
      </w:pPr>
    </w:p>
    <w:p w:rsidR="00F34C73" w:rsidRDefault="00F34C73" w:rsidP="00F34C73">
      <w:pPr>
        <w:pStyle w:val="Normal-Arial"/>
      </w:pPr>
    </w:p>
    <w:tbl>
      <w:tblPr>
        <w:tblpPr w:vertAnchor="page" w:horzAnchor="margin" w:tblpY="2953"/>
        <w:tblOverlap w:val="never"/>
        <w:tblW w:w="9216" w:type="dxa"/>
        <w:tblLayout w:type="fixed"/>
        <w:tblCellMar>
          <w:left w:w="0" w:type="dxa"/>
          <w:right w:w="0" w:type="dxa"/>
        </w:tblCellMar>
        <w:tblLook w:val="01E0" w:firstRow="1" w:lastRow="1" w:firstColumn="1" w:lastColumn="1" w:noHBand="0" w:noVBand="0"/>
      </w:tblPr>
      <w:tblGrid>
        <w:gridCol w:w="9216"/>
      </w:tblGrid>
      <w:tr w:rsidR="00F34C73" w:rsidTr="00931DC3">
        <w:trPr>
          <w:cantSplit/>
          <w:trHeight w:hRule="exact" w:val="2592"/>
        </w:trPr>
        <w:tc>
          <w:tcPr>
            <w:tcW w:w="9216" w:type="dxa"/>
            <w:vAlign w:val="bottom"/>
          </w:tcPr>
          <w:p w:rsidR="00B74DC3" w:rsidRPr="00B74DC3" w:rsidRDefault="00B74DC3" w:rsidP="00B74DC3">
            <w:pPr>
              <w:pStyle w:val="ReportTitle"/>
              <w:framePr w:wrap="auto" w:vAnchor="margin" w:hAnchor="text" w:yAlign="inline"/>
              <w:suppressOverlap w:val="0"/>
            </w:pPr>
            <w:r w:rsidRPr="00B74DC3">
              <w:t>Financial Analysis of Experimental Releases</w:t>
            </w:r>
          </w:p>
          <w:p w:rsidR="00B74DC3" w:rsidRPr="00B74DC3" w:rsidRDefault="00B74DC3" w:rsidP="00B74DC3">
            <w:pPr>
              <w:pStyle w:val="ReportTitle"/>
              <w:framePr w:wrap="auto" w:vAnchor="margin" w:hAnchor="text" w:yAlign="inline"/>
              <w:suppressOverlap w:val="0"/>
            </w:pPr>
            <w:r w:rsidRPr="00B74DC3">
              <w:t>Conducted at Glen Canyon Dam</w:t>
            </w:r>
          </w:p>
          <w:p w:rsidR="00F34C73" w:rsidRDefault="00B74DC3" w:rsidP="00B74DC3">
            <w:pPr>
              <w:pStyle w:val="ReportTitle"/>
              <w:keepNext/>
              <w:keepLines/>
              <w:framePr w:wrap="auto" w:vAnchor="margin" w:hAnchor="text" w:yAlign="inline"/>
              <w:tabs>
                <w:tab w:val="left" w:pos="432"/>
              </w:tabs>
              <w:suppressOverlap w:val="0"/>
            </w:pPr>
            <w:r>
              <w:t>during Water Year 2019</w:t>
            </w:r>
          </w:p>
        </w:tc>
      </w:tr>
      <w:tr w:rsidR="00F34C73" w:rsidTr="00931DC3">
        <w:trPr>
          <w:cantSplit/>
          <w:trHeight w:hRule="exact" w:val="216"/>
        </w:trPr>
        <w:tc>
          <w:tcPr>
            <w:tcW w:w="9216" w:type="dxa"/>
            <w:tcBorders>
              <w:bottom w:val="single" w:sz="12" w:space="0" w:color="auto"/>
            </w:tcBorders>
          </w:tcPr>
          <w:p w:rsidR="00F34C73" w:rsidRDefault="00F34C73" w:rsidP="003F1FDA">
            <w:pPr>
              <w:pStyle w:val="Normal-Arial"/>
              <w:keepNext/>
              <w:keepLines/>
              <w:tabs>
                <w:tab w:val="left" w:pos="432"/>
              </w:tabs>
              <w:spacing w:before="100" w:line="280" w:lineRule="exact"/>
              <w:ind w:left="187" w:hanging="187"/>
            </w:pPr>
          </w:p>
        </w:tc>
      </w:tr>
      <w:tr w:rsidR="00F34C73" w:rsidTr="00931DC3">
        <w:trPr>
          <w:cantSplit/>
          <w:trHeight w:hRule="exact" w:val="216"/>
        </w:trPr>
        <w:tc>
          <w:tcPr>
            <w:tcW w:w="9216" w:type="dxa"/>
            <w:tcBorders>
              <w:top w:val="single" w:sz="12" w:space="0" w:color="auto"/>
            </w:tcBorders>
          </w:tcPr>
          <w:p w:rsidR="00F34C73" w:rsidRDefault="00F34C73" w:rsidP="003F1FDA">
            <w:pPr>
              <w:pStyle w:val="Normal-Arial"/>
              <w:keepNext/>
              <w:keepLines/>
              <w:tabs>
                <w:tab w:val="left" w:pos="432"/>
              </w:tabs>
              <w:spacing w:before="100" w:line="280" w:lineRule="exact"/>
              <w:ind w:left="187" w:hanging="187"/>
            </w:pPr>
          </w:p>
        </w:tc>
      </w:tr>
    </w:tbl>
    <w:p w:rsidR="006C77BC" w:rsidRDefault="006C77BC" w:rsidP="006C77BC">
      <w:pPr>
        <w:pStyle w:val="Normal-Arial"/>
      </w:pPr>
    </w:p>
    <w:p w:rsidR="00F34C73" w:rsidRDefault="00F34C73" w:rsidP="00F34C73">
      <w:pPr>
        <w:pStyle w:val="Normal-Arial"/>
      </w:pPr>
    </w:p>
    <w:tbl>
      <w:tblPr>
        <w:tblpPr w:vertAnchor="page" w:horzAnchor="margin" w:tblpY="5761"/>
        <w:tblOverlap w:val="never"/>
        <w:tblW w:w="9216" w:type="dxa"/>
        <w:tblLayout w:type="fixed"/>
        <w:tblCellMar>
          <w:left w:w="0" w:type="dxa"/>
          <w:right w:w="0" w:type="dxa"/>
        </w:tblCellMar>
        <w:tblLook w:val="01E0" w:firstRow="1" w:lastRow="1" w:firstColumn="1" w:lastColumn="1" w:noHBand="0" w:noVBand="0"/>
      </w:tblPr>
      <w:tblGrid>
        <w:gridCol w:w="9216"/>
      </w:tblGrid>
      <w:tr w:rsidR="00017F5A" w:rsidTr="0045245A">
        <w:trPr>
          <w:cantSplit/>
          <w:trHeight w:val="1152"/>
        </w:trPr>
        <w:tc>
          <w:tcPr>
            <w:tcW w:w="9216" w:type="dxa"/>
          </w:tcPr>
          <w:p w:rsidR="0045245A" w:rsidRPr="0079280E" w:rsidRDefault="0045245A" w:rsidP="00EC7B5D">
            <w:pPr>
              <w:pStyle w:val="Subtitle"/>
            </w:pPr>
          </w:p>
          <w:p w:rsidR="00EC7B5D" w:rsidRPr="0079280E" w:rsidRDefault="00EC7B5D" w:rsidP="00EC7B5D">
            <w:pPr>
              <w:pStyle w:val="Subtitle"/>
            </w:pPr>
          </w:p>
        </w:tc>
      </w:tr>
    </w:tbl>
    <w:p w:rsidR="00031A50" w:rsidRPr="00031A50" w:rsidRDefault="00031A50" w:rsidP="00031A50">
      <w:pPr>
        <w:rPr>
          <w:vanish/>
        </w:rPr>
      </w:pPr>
    </w:p>
    <w:tbl>
      <w:tblPr>
        <w:tblpPr w:vertAnchor="page" w:horzAnchor="margin" w:tblpY="7633"/>
        <w:tblOverlap w:val="never"/>
        <w:tblW w:w="9216" w:type="dxa"/>
        <w:tblLayout w:type="fixed"/>
        <w:tblCellMar>
          <w:left w:w="0" w:type="dxa"/>
          <w:right w:w="0" w:type="dxa"/>
        </w:tblCellMar>
        <w:tblLook w:val="01E0" w:firstRow="1" w:lastRow="1" w:firstColumn="1" w:lastColumn="1" w:noHBand="0" w:noVBand="0"/>
      </w:tblPr>
      <w:tblGrid>
        <w:gridCol w:w="9216"/>
      </w:tblGrid>
      <w:tr w:rsidR="002C241E" w:rsidTr="003F1FDA">
        <w:trPr>
          <w:cantSplit/>
          <w:trHeight w:hRule="exact" w:val="1440"/>
        </w:trPr>
        <w:tc>
          <w:tcPr>
            <w:tcW w:w="9216" w:type="dxa"/>
          </w:tcPr>
          <w:p w:rsidR="002C241E" w:rsidRDefault="00B74DC3" w:rsidP="00627921">
            <w:pPr>
              <w:pStyle w:val="DivisionName"/>
              <w:keepNext/>
              <w:keepLines/>
              <w:framePr w:wrap="auto" w:yAlign="inline"/>
              <w:tabs>
                <w:tab w:val="left" w:pos="432"/>
              </w:tabs>
            </w:pPr>
            <w:r>
              <w:t xml:space="preserve">Energy Systems </w:t>
            </w:r>
            <w:r w:rsidR="007C05B8">
              <w:t>Division</w:t>
            </w:r>
          </w:p>
        </w:tc>
      </w:tr>
    </w:tbl>
    <w:p w:rsidR="00EC7B5D" w:rsidRDefault="00EC7B5D" w:rsidP="00F34C73">
      <w:pPr>
        <w:pStyle w:val="Normal-Arial"/>
      </w:pPr>
    </w:p>
    <w:p w:rsidR="00F34C73" w:rsidRDefault="00F34C73" w:rsidP="00F34C73">
      <w:pPr>
        <w:pStyle w:val="Normal-Arial"/>
      </w:pPr>
    </w:p>
    <w:p w:rsidR="0045245A" w:rsidRDefault="0045245A" w:rsidP="00F34C73">
      <w:pPr>
        <w:pStyle w:val="Normal-Arial"/>
      </w:pPr>
    </w:p>
    <w:p w:rsidR="00DA3699" w:rsidRDefault="00DA3699" w:rsidP="00F34C73">
      <w:pPr>
        <w:pStyle w:val="Normal-Arial"/>
        <w:sectPr w:rsidR="00DA3699" w:rsidSect="00DA3699">
          <w:pgSz w:w="12240" w:h="15840" w:code="1"/>
          <w:pgMar w:top="720" w:right="1080" w:bottom="1440" w:left="1987" w:header="720" w:footer="720" w:gutter="0"/>
          <w:cols w:space="720"/>
          <w:docGrid w:linePitch="360"/>
        </w:sectPr>
      </w:pPr>
    </w:p>
    <w:p w:rsidR="00FF419D" w:rsidRPr="000B664D" w:rsidRDefault="00FF419D" w:rsidP="00FF419D">
      <w:pPr>
        <w:pStyle w:val="Normal-Arial"/>
        <w:rPr>
          <w:b/>
          <w:sz w:val="17"/>
          <w:szCs w:val="17"/>
        </w:rPr>
      </w:pPr>
    </w:p>
    <w:p w:rsidR="00FF419D" w:rsidRPr="000B664D" w:rsidRDefault="00FF419D" w:rsidP="00FF419D">
      <w:pPr>
        <w:widowControl w:val="0"/>
        <w:kinsoku w:val="0"/>
        <w:overflowPunct w:val="0"/>
        <w:autoSpaceDE w:val="0"/>
        <w:autoSpaceDN w:val="0"/>
        <w:adjustRightInd w:val="0"/>
        <w:spacing w:line="200" w:lineRule="exact"/>
        <w:jc w:val="left"/>
        <w:rPr>
          <w:b/>
          <w:sz w:val="20"/>
        </w:rPr>
      </w:pPr>
    </w:p>
    <w:p w:rsidR="00FF419D" w:rsidRPr="000B664D" w:rsidRDefault="00FF419D" w:rsidP="00FF419D">
      <w:pPr>
        <w:widowControl w:val="0"/>
        <w:kinsoku w:val="0"/>
        <w:overflowPunct w:val="0"/>
        <w:autoSpaceDE w:val="0"/>
        <w:autoSpaceDN w:val="0"/>
        <w:adjustRightInd w:val="0"/>
        <w:spacing w:line="200" w:lineRule="exact"/>
        <w:jc w:val="left"/>
        <w:rPr>
          <w:rFonts w:ascii="Arial" w:hAnsi="Arial" w:cs="Arial"/>
          <w:sz w:val="16"/>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606D1D" w:rsidRDefault="00FF419D" w:rsidP="00606D1D">
      <w:pPr>
        <w:rPr>
          <w:rFonts w:ascii="Arial" w:hAnsi="Arial" w:cs="Arial"/>
          <w:b/>
          <w:color w:val="000000"/>
          <w:sz w:val="16"/>
          <w:szCs w:val="16"/>
        </w:rPr>
      </w:pPr>
      <w:r w:rsidRPr="00606D1D">
        <w:rPr>
          <w:rFonts w:ascii="Arial" w:hAnsi="Arial" w:cs="Arial"/>
          <w:b/>
          <w:sz w:val="16"/>
          <w:szCs w:val="16"/>
        </w:rPr>
        <w:t>About</w:t>
      </w:r>
      <w:r w:rsidRPr="00606D1D">
        <w:rPr>
          <w:rFonts w:ascii="Arial" w:hAnsi="Arial" w:cs="Arial"/>
          <w:b/>
          <w:spacing w:val="-12"/>
          <w:sz w:val="16"/>
          <w:szCs w:val="16"/>
        </w:rPr>
        <w:t xml:space="preserve"> </w:t>
      </w:r>
      <w:r w:rsidRPr="00606D1D">
        <w:rPr>
          <w:rFonts w:ascii="Arial" w:hAnsi="Arial" w:cs="Arial"/>
          <w:b/>
          <w:sz w:val="16"/>
          <w:szCs w:val="16"/>
        </w:rPr>
        <w:t>Argonne</w:t>
      </w:r>
      <w:r w:rsidRPr="00606D1D">
        <w:rPr>
          <w:rFonts w:ascii="Arial" w:hAnsi="Arial" w:cs="Arial"/>
          <w:b/>
          <w:spacing w:val="-6"/>
          <w:sz w:val="16"/>
          <w:szCs w:val="16"/>
        </w:rPr>
        <w:t xml:space="preserve"> </w:t>
      </w:r>
      <w:r w:rsidRPr="00606D1D">
        <w:rPr>
          <w:rFonts w:ascii="Arial" w:hAnsi="Arial" w:cs="Arial"/>
          <w:b/>
          <w:sz w:val="16"/>
          <w:szCs w:val="16"/>
        </w:rPr>
        <w:t>National</w:t>
      </w:r>
      <w:r w:rsidRPr="00606D1D">
        <w:rPr>
          <w:rFonts w:ascii="Arial" w:hAnsi="Arial" w:cs="Arial"/>
          <w:b/>
          <w:spacing w:val="-6"/>
          <w:sz w:val="16"/>
          <w:szCs w:val="16"/>
        </w:rPr>
        <w:t xml:space="preserve"> </w:t>
      </w:r>
      <w:r w:rsidRPr="00606D1D">
        <w:rPr>
          <w:rFonts w:ascii="Arial" w:hAnsi="Arial" w:cs="Arial"/>
          <w:b/>
          <w:sz w:val="16"/>
          <w:szCs w:val="16"/>
        </w:rPr>
        <w:t>Laboratory</w:t>
      </w:r>
    </w:p>
    <w:p w:rsidR="00FF419D" w:rsidRPr="0035363A" w:rsidRDefault="00FF419D" w:rsidP="00FF419D">
      <w:pPr>
        <w:widowControl w:val="0"/>
        <w:kinsoku w:val="0"/>
        <w:overflowPunct w:val="0"/>
        <w:autoSpaceDE w:val="0"/>
        <w:autoSpaceDN w:val="0"/>
        <w:adjustRightInd w:val="0"/>
        <w:spacing w:before="36" w:line="287" w:lineRule="auto"/>
        <w:ind w:left="100" w:right="3125"/>
        <w:jc w:val="left"/>
        <w:rPr>
          <w:rFonts w:ascii="Arial" w:hAnsi="Arial" w:cs="Arial"/>
          <w:color w:val="000000"/>
          <w:sz w:val="16"/>
          <w:szCs w:val="16"/>
        </w:rPr>
      </w:pPr>
      <w:r w:rsidRPr="0035363A">
        <w:rPr>
          <w:rFonts w:ascii="Arial" w:hAnsi="Arial" w:cs="Arial"/>
          <w:color w:val="231F20"/>
          <w:sz w:val="16"/>
          <w:szCs w:val="16"/>
        </w:rPr>
        <w:t>Argonne</w:t>
      </w:r>
      <w:r w:rsidRPr="0035363A">
        <w:rPr>
          <w:rFonts w:ascii="Arial" w:hAnsi="Arial" w:cs="Arial"/>
          <w:color w:val="231F20"/>
          <w:spacing w:val="-2"/>
          <w:sz w:val="16"/>
          <w:szCs w:val="16"/>
        </w:rPr>
        <w:t xml:space="preserve"> </w:t>
      </w:r>
      <w:r w:rsidRPr="0035363A">
        <w:rPr>
          <w:rFonts w:ascii="Arial" w:hAnsi="Arial" w:cs="Arial"/>
          <w:color w:val="231F20"/>
          <w:sz w:val="16"/>
          <w:szCs w:val="16"/>
        </w:rPr>
        <w:t>is</w:t>
      </w:r>
      <w:r w:rsidRPr="0035363A">
        <w:rPr>
          <w:rFonts w:ascii="Arial" w:hAnsi="Arial" w:cs="Arial"/>
          <w:color w:val="231F20"/>
          <w:spacing w:val="-1"/>
          <w:sz w:val="16"/>
          <w:szCs w:val="16"/>
        </w:rPr>
        <w:t xml:space="preserve"> </w:t>
      </w:r>
      <w:r w:rsidRPr="0035363A">
        <w:rPr>
          <w:rFonts w:ascii="Arial" w:hAnsi="Arial" w:cs="Arial"/>
          <w:color w:val="231F20"/>
          <w:sz w:val="16"/>
          <w:szCs w:val="16"/>
        </w:rPr>
        <w:t>a</w:t>
      </w:r>
      <w:r w:rsidRPr="0035363A">
        <w:rPr>
          <w:rFonts w:ascii="Arial" w:hAnsi="Arial" w:cs="Arial"/>
          <w:color w:val="231F20"/>
          <w:spacing w:val="-2"/>
          <w:sz w:val="16"/>
          <w:szCs w:val="16"/>
        </w:rPr>
        <w:t xml:space="preserve"> </w:t>
      </w:r>
      <w:r w:rsidRPr="0035363A">
        <w:rPr>
          <w:rFonts w:ascii="Arial" w:hAnsi="Arial" w:cs="Arial"/>
          <w:color w:val="231F20"/>
          <w:sz w:val="16"/>
          <w:szCs w:val="16"/>
        </w:rPr>
        <w:t>U.S. Department</w:t>
      </w:r>
      <w:r w:rsidRPr="0035363A">
        <w:rPr>
          <w:rFonts w:ascii="Arial" w:hAnsi="Arial" w:cs="Arial"/>
          <w:color w:val="231F20"/>
          <w:spacing w:val="-1"/>
          <w:sz w:val="16"/>
          <w:szCs w:val="16"/>
        </w:rPr>
        <w:t xml:space="preserve"> </w:t>
      </w:r>
      <w:r w:rsidRPr="0035363A">
        <w:rPr>
          <w:rFonts w:ascii="Arial" w:hAnsi="Arial" w:cs="Arial"/>
          <w:color w:val="231F20"/>
          <w:sz w:val="16"/>
          <w:szCs w:val="16"/>
        </w:rPr>
        <w:t>of</w:t>
      </w:r>
      <w:r w:rsidRPr="0035363A">
        <w:rPr>
          <w:rFonts w:ascii="Arial" w:hAnsi="Arial" w:cs="Arial"/>
          <w:color w:val="231F20"/>
          <w:spacing w:val="-1"/>
          <w:sz w:val="16"/>
          <w:szCs w:val="16"/>
        </w:rPr>
        <w:t xml:space="preserve"> </w:t>
      </w:r>
      <w:r w:rsidRPr="0035363A">
        <w:rPr>
          <w:rFonts w:ascii="Arial" w:hAnsi="Arial" w:cs="Arial"/>
          <w:color w:val="231F20"/>
          <w:sz w:val="16"/>
          <w:szCs w:val="16"/>
        </w:rPr>
        <w:t>Energy</w:t>
      </w:r>
      <w:r w:rsidRPr="0035363A">
        <w:rPr>
          <w:rFonts w:ascii="Arial" w:hAnsi="Arial" w:cs="Arial"/>
          <w:color w:val="231F20"/>
          <w:spacing w:val="-1"/>
          <w:sz w:val="16"/>
          <w:szCs w:val="16"/>
        </w:rPr>
        <w:t xml:space="preserve"> </w:t>
      </w:r>
      <w:r w:rsidRPr="0035363A">
        <w:rPr>
          <w:rFonts w:ascii="Arial" w:hAnsi="Arial" w:cs="Arial"/>
          <w:color w:val="231F20"/>
          <w:sz w:val="16"/>
          <w:szCs w:val="16"/>
        </w:rPr>
        <w:t>laboratory</w:t>
      </w:r>
      <w:r w:rsidRPr="0035363A">
        <w:rPr>
          <w:rFonts w:ascii="Arial" w:hAnsi="Arial" w:cs="Arial"/>
          <w:color w:val="231F20"/>
          <w:spacing w:val="-1"/>
          <w:sz w:val="16"/>
          <w:szCs w:val="16"/>
        </w:rPr>
        <w:t xml:space="preserve"> </w:t>
      </w:r>
      <w:r w:rsidRPr="0035363A">
        <w:rPr>
          <w:rFonts w:ascii="Arial" w:hAnsi="Arial" w:cs="Arial"/>
          <w:color w:val="231F20"/>
          <w:sz w:val="16"/>
          <w:szCs w:val="16"/>
        </w:rPr>
        <w:t>managed</w:t>
      </w:r>
      <w:r w:rsidRPr="0035363A">
        <w:rPr>
          <w:rFonts w:ascii="Arial" w:hAnsi="Arial" w:cs="Arial"/>
          <w:color w:val="231F20"/>
          <w:spacing w:val="-2"/>
          <w:sz w:val="16"/>
          <w:szCs w:val="16"/>
        </w:rPr>
        <w:t xml:space="preserve"> </w:t>
      </w:r>
      <w:r w:rsidRPr="0035363A">
        <w:rPr>
          <w:rFonts w:ascii="Arial" w:hAnsi="Arial" w:cs="Arial"/>
          <w:color w:val="231F20"/>
          <w:sz w:val="16"/>
          <w:szCs w:val="16"/>
        </w:rPr>
        <w:t>by</w:t>
      </w:r>
      <w:r w:rsidRPr="0035363A">
        <w:rPr>
          <w:rFonts w:ascii="Arial" w:hAnsi="Arial" w:cs="Arial"/>
          <w:color w:val="231F20"/>
          <w:spacing w:val="-1"/>
          <w:sz w:val="16"/>
          <w:szCs w:val="16"/>
        </w:rPr>
        <w:t xml:space="preserve"> </w:t>
      </w:r>
      <w:r w:rsidRPr="0035363A">
        <w:rPr>
          <w:rFonts w:ascii="Arial" w:hAnsi="Arial" w:cs="Arial"/>
          <w:color w:val="231F20"/>
          <w:sz w:val="16"/>
          <w:szCs w:val="16"/>
        </w:rPr>
        <w:t>UChicago</w:t>
      </w:r>
      <w:r w:rsidRPr="0035363A">
        <w:rPr>
          <w:rFonts w:ascii="Arial" w:hAnsi="Arial" w:cs="Arial"/>
          <w:color w:val="231F20"/>
          <w:spacing w:val="-10"/>
          <w:sz w:val="16"/>
          <w:szCs w:val="16"/>
        </w:rPr>
        <w:t xml:space="preserve"> </w:t>
      </w:r>
      <w:r w:rsidRPr="0035363A">
        <w:rPr>
          <w:rFonts w:ascii="Arial" w:hAnsi="Arial" w:cs="Arial"/>
          <w:color w:val="231F20"/>
          <w:sz w:val="16"/>
          <w:szCs w:val="16"/>
        </w:rPr>
        <w:t>Argonne,</w:t>
      </w:r>
      <w:r w:rsidRPr="0035363A">
        <w:rPr>
          <w:rFonts w:ascii="Arial" w:hAnsi="Arial" w:cs="Arial"/>
          <w:color w:val="231F20"/>
          <w:spacing w:val="-1"/>
          <w:sz w:val="16"/>
          <w:szCs w:val="16"/>
        </w:rPr>
        <w:t xml:space="preserve"> </w:t>
      </w:r>
      <w:r w:rsidRPr="0035363A">
        <w:rPr>
          <w:rFonts w:ascii="Arial" w:hAnsi="Arial" w:cs="Arial"/>
          <w:color w:val="231F20"/>
          <w:sz w:val="16"/>
          <w:szCs w:val="16"/>
        </w:rPr>
        <w:t>LLC under</w:t>
      </w:r>
      <w:r w:rsidRPr="0035363A">
        <w:rPr>
          <w:rFonts w:ascii="Arial" w:hAnsi="Arial" w:cs="Arial"/>
          <w:color w:val="231F20"/>
          <w:spacing w:val="-1"/>
          <w:sz w:val="16"/>
          <w:szCs w:val="16"/>
        </w:rPr>
        <w:t xml:space="preserve"> </w:t>
      </w:r>
      <w:r w:rsidRPr="0035363A">
        <w:rPr>
          <w:rFonts w:ascii="Arial" w:hAnsi="Arial" w:cs="Arial"/>
          <w:color w:val="231F20"/>
          <w:sz w:val="16"/>
          <w:szCs w:val="16"/>
        </w:rPr>
        <w:t>contract</w:t>
      </w:r>
      <w:r w:rsidRPr="0035363A">
        <w:rPr>
          <w:rFonts w:ascii="Arial" w:hAnsi="Arial" w:cs="Arial"/>
          <w:color w:val="231F20"/>
          <w:spacing w:val="-1"/>
          <w:sz w:val="16"/>
          <w:szCs w:val="16"/>
        </w:rPr>
        <w:t xml:space="preserve"> </w:t>
      </w:r>
      <w:r w:rsidRPr="0035363A">
        <w:rPr>
          <w:rFonts w:ascii="Arial" w:hAnsi="Arial" w:cs="Arial"/>
          <w:color w:val="231F20"/>
          <w:sz w:val="16"/>
          <w:szCs w:val="16"/>
        </w:rPr>
        <w:t>DE-AC02-06CH</w:t>
      </w:r>
      <w:r w:rsidRPr="0035363A">
        <w:rPr>
          <w:rFonts w:ascii="Arial" w:hAnsi="Arial" w:cs="Arial"/>
          <w:color w:val="231F20"/>
          <w:spacing w:val="-12"/>
          <w:sz w:val="16"/>
          <w:szCs w:val="16"/>
        </w:rPr>
        <w:t>1</w:t>
      </w:r>
      <w:r w:rsidRPr="0035363A">
        <w:rPr>
          <w:rFonts w:ascii="Arial" w:hAnsi="Arial" w:cs="Arial"/>
          <w:color w:val="231F20"/>
          <w:sz w:val="16"/>
          <w:szCs w:val="16"/>
        </w:rPr>
        <w:t>1357.</w:t>
      </w:r>
      <w:r w:rsidRPr="0035363A">
        <w:rPr>
          <w:rFonts w:ascii="Arial" w:hAnsi="Arial" w:cs="Arial"/>
          <w:color w:val="231F20"/>
          <w:spacing w:val="-3"/>
          <w:sz w:val="16"/>
          <w:szCs w:val="16"/>
        </w:rPr>
        <w:t xml:space="preserve"> </w:t>
      </w:r>
      <w:r w:rsidRPr="0035363A">
        <w:rPr>
          <w:rFonts w:ascii="Arial" w:hAnsi="Arial" w:cs="Arial"/>
          <w:color w:val="231F20"/>
          <w:sz w:val="16"/>
          <w:szCs w:val="16"/>
        </w:rPr>
        <w:t>The</w:t>
      </w:r>
      <w:r w:rsidRPr="0035363A">
        <w:rPr>
          <w:rFonts w:ascii="Arial" w:hAnsi="Arial" w:cs="Arial"/>
          <w:color w:val="231F20"/>
          <w:spacing w:val="-1"/>
          <w:sz w:val="16"/>
          <w:szCs w:val="16"/>
        </w:rPr>
        <w:t xml:space="preserve"> </w:t>
      </w:r>
      <w:r w:rsidRPr="0035363A">
        <w:rPr>
          <w:rFonts w:ascii="Arial" w:hAnsi="Arial" w:cs="Arial"/>
          <w:color w:val="231F20"/>
          <w:sz w:val="16"/>
          <w:szCs w:val="16"/>
        </w:rPr>
        <w:t>Laboratory</w:t>
      </w:r>
      <w:r w:rsidRPr="0035363A">
        <w:rPr>
          <w:rFonts w:ascii="Arial" w:hAnsi="Arial" w:cs="Arial"/>
          <w:color w:val="231F20"/>
          <w:spacing w:val="-3"/>
          <w:sz w:val="16"/>
          <w:szCs w:val="16"/>
        </w:rPr>
        <w:t>’</w:t>
      </w:r>
      <w:r w:rsidRPr="0035363A">
        <w:rPr>
          <w:rFonts w:ascii="Arial" w:hAnsi="Arial" w:cs="Arial"/>
          <w:color w:val="231F20"/>
          <w:sz w:val="16"/>
          <w:szCs w:val="16"/>
        </w:rPr>
        <w:t>s main</w:t>
      </w:r>
      <w:r w:rsidRPr="0035363A">
        <w:rPr>
          <w:rFonts w:ascii="Arial" w:hAnsi="Arial" w:cs="Arial"/>
          <w:color w:val="231F20"/>
          <w:spacing w:val="-1"/>
          <w:sz w:val="16"/>
          <w:szCs w:val="16"/>
        </w:rPr>
        <w:t xml:space="preserve"> </w:t>
      </w:r>
      <w:r w:rsidRPr="0035363A">
        <w:rPr>
          <w:rFonts w:ascii="Arial" w:hAnsi="Arial" w:cs="Arial"/>
          <w:color w:val="231F20"/>
          <w:sz w:val="16"/>
          <w:szCs w:val="16"/>
        </w:rPr>
        <w:t>facility</w:t>
      </w:r>
      <w:r w:rsidRPr="0035363A">
        <w:rPr>
          <w:rFonts w:ascii="Arial" w:hAnsi="Arial" w:cs="Arial"/>
          <w:color w:val="231F20"/>
          <w:spacing w:val="-1"/>
          <w:sz w:val="16"/>
          <w:szCs w:val="16"/>
        </w:rPr>
        <w:t xml:space="preserve"> </w:t>
      </w:r>
      <w:r w:rsidRPr="0035363A">
        <w:rPr>
          <w:rFonts w:ascii="Arial" w:hAnsi="Arial" w:cs="Arial"/>
          <w:color w:val="231F20"/>
          <w:sz w:val="16"/>
          <w:szCs w:val="16"/>
        </w:rPr>
        <w:t>is</w:t>
      </w:r>
      <w:r w:rsidRPr="0035363A">
        <w:rPr>
          <w:rFonts w:ascii="Arial" w:hAnsi="Arial" w:cs="Arial"/>
          <w:color w:val="231F20"/>
          <w:spacing w:val="-1"/>
          <w:sz w:val="16"/>
          <w:szCs w:val="16"/>
        </w:rPr>
        <w:t xml:space="preserve"> </w:t>
      </w:r>
      <w:r w:rsidRPr="0035363A">
        <w:rPr>
          <w:rFonts w:ascii="Arial" w:hAnsi="Arial" w:cs="Arial"/>
          <w:color w:val="231F20"/>
          <w:sz w:val="16"/>
          <w:szCs w:val="16"/>
        </w:rPr>
        <w:t>outside</w:t>
      </w:r>
      <w:r w:rsidRPr="0035363A">
        <w:rPr>
          <w:rFonts w:ascii="Arial" w:hAnsi="Arial" w:cs="Arial"/>
          <w:color w:val="231F20"/>
          <w:spacing w:val="-1"/>
          <w:sz w:val="16"/>
          <w:szCs w:val="16"/>
        </w:rPr>
        <w:t xml:space="preserve"> </w:t>
      </w:r>
      <w:r w:rsidRPr="0035363A">
        <w:rPr>
          <w:rFonts w:ascii="Arial" w:hAnsi="Arial" w:cs="Arial"/>
          <w:color w:val="231F20"/>
          <w:sz w:val="16"/>
          <w:szCs w:val="16"/>
        </w:rPr>
        <w:t>Chicago, at</w:t>
      </w:r>
      <w:r w:rsidRPr="0035363A">
        <w:rPr>
          <w:rFonts w:ascii="Arial" w:hAnsi="Arial" w:cs="Arial"/>
          <w:color w:val="231F20"/>
          <w:spacing w:val="-1"/>
          <w:sz w:val="16"/>
          <w:szCs w:val="16"/>
        </w:rPr>
        <w:t xml:space="preserve"> </w:t>
      </w:r>
      <w:r w:rsidRPr="0035363A">
        <w:rPr>
          <w:rFonts w:ascii="Arial" w:hAnsi="Arial" w:cs="Arial"/>
          <w:color w:val="231F20"/>
          <w:sz w:val="16"/>
          <w:szCs w:val="16"/>
        </w:rPr>
        <w:t>9700</w:t>
      </w:r>
      <w:r w:rsidRPr="0035363A">
        <w:rPr>
          <w:rFonts w:ascii="Arial" w:hAnsi="Arial" w:cs="Arial"/>
          <w:color w:val="231F20"/>
          <w:spacing w:val="-1"/>
          <w:sz w:val="16"/>
          <w:szCs w:val="16"/>
        </w:rPr>
        <w:t xml:space="preserve"> </w:t>
      </w:r>
      <w:r w:rsidRPr="0035363A">
        <w:rPr>
          <w:rFonts w:ascii="Arial" w:hAnsi="Arial" w:cs="Arial"/>
          <w:color w:val="231F20"/>
          <w:sz w:val="16"/>
          <w:szCs w:val="16"/>
        </w:rPr>
        <w:t>South</w:t>
      </w:r>
      <w:r w:rsidRPr="0035363A">
        <w:rPr>
          <w:rFonts w:ascii="Arial" w:hAnsi="Arial" w:cs="Arial"/>
          <w:color w:val="231F20"/>
          <w:spacing w:val="-1"/>
          <w:sz w:val="16"/>
          <w:szCs w:val="16"/>
        </w:rPr>
        <w:t xml:space="preserve"> </w:t>
      </w:r>
      <w:r w:rsidRPr="0035363A">
        <w:rPr>
          <w:rFonts w:ascii="Arial" w:hAnsi="Arial" w:cs="Arial"/>
          <w:color w:val="231F20"/>
          <w:sz w:val="16"/>
          <w:szCs w:val="16"/>
        </w:rPr>
        <w:t>Cass</w:t>
      </w:r>
      <w:r w:rsidRPr="0035363A">
        <w:rPr>
          <w:rFonts w:ascii="Arial" w:hAnsi="Arial" w:cs="Arial"/>
          <w:color w:val="231F20"/>
          <w:spacing w:val="-9"/>
          <w:sz w:val="16"/>
          <w:szCs w:val="16"/>
        </w:rPr>
        <w:t xml:space="preserve"> </w:t>
      </w:r>
      <w:r w:rsidRPr="0035363A">
        <w:rPr>
          <w:rFonts w:ascii="Arial" w:hAnsi="Arial" w:cs="Arial"/>
          <w:color w:val="231F20"/>
          <w:spacing w:val="-3"/>
          <w:sz w:val="16"/>
          <w:szCs w:val="16"/>
        </w:rPr>
        <w:t>A</w:t>
      </w:r>
      <w:r w:rsidRPr="0035363A">
        <w:rPr>
          <w:rFonts w:ascii="Arial" w:hAnsi="Arial" w:cs="Arial"/>
          <w:color w:val="231F20"/>
          <w:sz w:val="16"/>
          <w:szCs w:val="16"/>
        </w:rPr>
        <w:t>venue,</w:t>
      </w:r>
      <w:r w:rsidRPr="0035363A">
        <w:rPr>
          <w:rFonts w:ascii="Arial" w:hAnsi="Arial" w:cs="Arial"/>
          <w:color w:val="231F20"/>
          <w:spacing w:val="-10"/>
          <w:sz w:val="16"/>
          <w:szCs w:val="16"/>
        </w:rPr>
        <w:t xml:space="preserve"> </w:t>
      </w:r>
      <w:r w:rsidRPr="0035363A">
        <w:rPr>
          <w:rFonts w:ascii="Arial" w:hAnsi="Arial" w:cs="Arial"/>
          <w:color w:val="231F20"/>
          <w:sz w:val="16"/>
          <w:szCs w:val="16"/>
        </w:rPr>
        <w:t>Argonne,</w:t>
      </w:r>
      <w:r w:rsidRPr="0035363A">
        <w:rPr>
          <w:rFonts w:ascii="Arial" w:hAnsi="Arial" w:cs="Arial"/>
          <w:color w:val="231F20"/>
          <w:spacing w:val="-1"/>
          <w:sz w:val="16"/>
          <w:szCs w:val="16"/>
        </w:rPr>
        <w:t xml:space="preserve"> </w:t>
      </w:r>
      <w:r w:rsidRPr="0035363A">
        <w:rPr>
          <w:rFonts w:ascii="Arial" w:hAnsi="Arial" w:cs="Arial"/>
          <w:color w:val="231F20"/>
          <w:sz w:val="16"/>
          <w:szCs w:val="16"/>
        </w:rPr>
        <w:t>Illinois</w:t>
      </w:r>
      <w:r w:rsidRPr="0035363A">
        <w:rPr>
          <w:rFonts w:ascii="Arial" w:hAnsi="Arial" w:cs="Arial"/>
          <w:color w:val="231F20"/>
          <w:spacing w:val="-1"/>
          <w:sz w:val="16"/>
          <w:szCs w:val="16"/>
        </w:rPr>
        <w:t xml:space="preserve"> </w:t>
      </w:r>
      <w:r w:rsidRPr="0035363A">
        <w:rPr>
          <w:rFonts w:ascii="Arial" w:hAnsi="Arial" w:cs="Arial"/>
          <w:color w:val="231F20"/>
          <w:sz w:val="16"/>
          <w:szCs w:val="16"/>
        </w:rPr>
        <w:t>60439.</w:t>
      </w:r>
      <w:r w:rsidRPr="0035363A">
        <w:rPr>
          <w:rFonts w:ascii="Arial" w:hAnsi="Arial" w:cs="Arial"/>
          <w:color w:val="231F20"/>
          <w:spacing w:val="-1"/>
          <w:sz w:val="16"/>
          <w:szCs w:val="16"/>
        </w:rPr>
        <w:t xml:space="preserve"> </w:t>
      </w:r>
      <w:r w:rsidRPr="0035363A">
        <w:rPr>
          <w:rFonts w:ascii="Arial" w:hAnsi="Arial" w:cs="Arial"/>
          <w:color w:val="231F20"/>
          <w:sz w:val="16"/>
          <w:szCs w:val="16"/>
        </w:rPr>
        <w:t>For information</w:t>
      </w:r>
      <w:r w:rsidRPr="0035363A">
        <w:rPr>
          <w:rFonts w:ascii="Arial" w:hAnsi="Arial" w:cs="Arial"/>
          <w:color w:val="231F20"/>
          <w:spacing w:val="-2"/>
          <w:sz w:val="16"/>
          <w:szCs w:val="16"/>
        </w:rPr>
        <w:t xml:space="preserve"> </w:t>
      </w:r>
      <w:r w:rsidRPr="0035363A">
        <w:rPr>
          <w:rFonts w:ascii="Arial" w:hAnsi="Arial" w:cs="Arial"/>
          <w:color w:val="231F20"/>
          <w:sz w:val="16"/>
          <w:szCs w:val="16"/>
        </w:rPr>
        <w:t>about</w:t>
      </w:r>
      <w:r w:rsidRPr="0035363A">
        <w:rPr>
          <w:rFonts w:ascii="Arial" w:hAnsi="Arial" w:cs="Arial"/>
          <w:color w:val="231F20"/>
          <w:spacing w:val="-9"/>
          <w:sz w:val="16"/>
          <w:szCs w:val="16"/>
        </w:rPr>
        <w:t xml:space="preserve"> </w:t>
      </w:r>
      <w:r w:rsidRPr="0035363A">
        <w:rPr>
          <w:rFonts w:ascii="Arial" w:hAnsi="Arial" w:cs="Arial"/>
          <w:color w:val="231F20"/>
          <w:sz w:val="16"/>
          <w:szCs w:val="16"/>
        </w:rPr>
        <w:t>Argonne</w:t>
      </w:r>
    </w:p>
    <w:p w:rsidR="00FF419D" w:rsidRPr="0035363A" w:rsidRDefault="00FF419D" w:rsidP="00FF419D">
      <w:pPr>
        <w:widowControl w:val="0"/>
        <w:kinsoku w:val="0"/>
        <w:overflowPunct w:val="0"/>
        <w:autoSpaceDE w:val="0"/>
        <w:autoSpaceDN w:val="0"/>
        <w:adjustRightInd w:val="0"/>
        <w:spacing w:before="1" w:line="240" w:lineRule="auto"/>
        <w:ind w:left="100"/>
        <w:jc w:val="left"/>
        <w:rPr>
          <w:rFonts w:ascii="Arial" w:hAnsi="Arial" w:cs="Arial"/>
          <w:color w:val="000000"/>
          <w:sz w:val="16"/>
          <w:szCs w:val="16"/>
        </w:rPr>
      </w:pPr>
      <w:r w:rsidRPr="0035363A">
        <w:rPr>
          <w:rFonts w:ascii="Arial" w:hAnsi="Arial" w:cs="Arial"/>
          <w:color w:val="231F20"/>
          <w:sz w:val="16"/>
          <w:szCs w:val="16"/>
        </w:rPr>
        <w:t>and</w:t>
      </w:r>
      <w:r w:rsidRPr="0035363A">
        <w:rPr>
          <w:rFonts w:ascii="Arial" w:hAnsi="Arial" w:cs="Arial"/>
          <w:color w:val="231F20"/>
          <w:spacing w:val="-2"/>
          <w:sz w:val="16"/>
          <w:szCs w:val="16"/>
        </w:rPr>
        <w:t xml:space="preserve"> </w:t>
      </w:r>
      <w:r w:rsidRPr="0035363A">
        <w:rPr>
          <w:rFonts w:ascii="Arial" w:hAnsi="Arial" w:cs="Arial"/>
          <w:color w:val="231F20"/>
          <w:sz w:val="16"/>
          <w:szCs w:val="16"/>
        </w:rPr>
        <w:t>its pioneering</w:t>
      </w:r>
      <w:r w:rsidRPr="0035363A">
        <w:rPr>
          <w:rFonts w:ascii="Arial" w:hAnsi="Arial" w:cs="Arial"/>
          <w:color w:val="231F20"/>
          <w:spacing w:val="-1"/>
          <w:sz w:val="16"/>
          <w:szCs w:val="16"/>
        </w:rPr>
        <w:t xml:space="preserve"> </w:t>
      </w:r>
      <w:r w:rsidRPr="0035363A">
        <w:rPr>
          <w:rFonts w:ascii="Arial" w:hAnsi="Arial" w:cs="Arial"/>
          <w:color w:val="231F20"/>
          <w:sz w:val="16"/>
          <w:szCs w:val="16"/>
        </w:rPr>
        <w:t>science</w:t>
      </w:r>
      <w:r w:rsidRPr="0035363A">
        <w:rPr>
          <w:rFonts w:ascii="Arial" w:hAnsi="Arial" w:cs="Arial"/>
          <w:color w:val="231F20"/>
          <w:spacing w:val="-1"/>
          <w:sz w:val="16"/>
          <w:szCs w:val="16"/>
        </w:rPr>
        <w:t xml:space="preserve"> </w:t>
      </w:r>
      <w:r w:rsidRPr="0035363A">
        <w:rPr>
          <w:rFonts w:ascii="Arial" w:hAnsi="Arial" w:cs="Arial"/>
          <w:color w:val="231F20"/>
          <w:sz w:val="16"/>
          <w:szCs w:val="16"/>
        </w:rPr>
        <w:t>and</w:t>
      </w:r>
      <w:r w:rsidRPr="0035363A">
        <w:rPr>
          <w:rFonts w:ascii="Arial" w:hAnsi="Arial" w:cs="Arial"/>
          <w:color w:val="231F20"/>
          <w:spacing w:val="-1"/>
          <w:sz w:val="16"/>
          <w:szCs w:val="16"/>
        </w:rPr>
        <w:t xml:space="preserve"> </w:t>
      </w:r>
      <w:r w:rsidRPr="0035363A">
        <w:rPr>
          <w:rFonts w:ascii="Arial" w:hAnsi="Arial" w:cs="Arial"/>
          <w:color w:val="231F20"/>
          <w:sz w:val="16"/>
          <w:szCs w:val="16"/>
        </w:rPr>
        <w:t>technology</w:t>
      </w:r>
      <w:r w:rsidRPr="0035363A">
        <w:rPr>
          <w:rFonts w:ascii="Arial" w:hAnsi="Arial" w:cs="Arial"/>
          <w:color w:val="231F20"/>
          <w:spacing w:val="-1"/>
          <w:sz w:val="16"/>
          <w:szCs w:val="16"/>
        </w:rPr>
        <w:t xml:space="preserve"> </w:t>
      </w:r>
      <w:r w:rsidRPr="0035363A">
        <w:rPr>
          <w:rFonts w:ascii="Arial" w:hAnsi="Arial" w:cs="Arial"/>
          <w:color w:val="231F20"/>
          <w:sz w:val="16"/>
          <w:szCs w:val="16"/>
        </w:rPr>
        <w:t>programs,</w:t>
      </w:r>
      <w:r w:rsidRPr="0035363A">
        <w:rPr>
          <w:rFonts w:ascii="Arial" w:hAnsi="Arial" w:cs="Arial"/>
          <w:color w:val="231F20"/>
          <w:spacing w:val="-1"/>
          <w:sz w:val="16"/>
          <w:szCs w:val="16"/>
        </w:rPr>
        <w:t xml:space="preserve"> </w:t>
      </w:r>
      <w:r w:rsidRPr="0035363A">
        <w:rPr>
          <w:rFonts w:ascii="Arial" w:hAnsi="Arial" w:cs="Arial"/>
          <w:color w:val="231F20"/>
          <w:sz w:val="16"/>
          <w:szCs w:val="16"/>
        </w:rPr>
        <w:t>see</w:t>
      </w:r>
      <w:r w:rsidRPr="0035363A">
        <w:rPr>
          <w:rFonts w:ascii="Arial" w:hAnsi="Arial" w:cs="Arial"/>
          <w:color w:val="231F20"/>
          <w:spacing w:val="-1"/>
          <w:sz w:val="16"/>
          <w:szCs w:val="16"/>
        </w:rPr>
        <w:t xml:space="preserve"> </w:t>
      </w:r>
      <w:hyperlink r:id="rId9" w:history="1">
        <w:r w:rsidRPr="0035363A">
          <w:rPr>
            <w:rFonts w:ascii="Arial" w:hAnsi="Arial" w:cs="Arial"/>
            <w:color w:val="231F20"/>
            <w:sz w:val="16"/>
            <w:szCs w:val="16"/>
          </w:rPr>
          <w:t>ww</w:t>
        </w:r>
        <w:r w:rsidRPr="0035363A">
          <w:rPr>
            <w:rFonts w:ascii="Arial" w:hAnsi="Arial" w:cs="Arial"/>
            <w:color w:val="231F20"/>
            <w:spacing w:val="-9"/>
            <w:sz w:val="16"/>
            <w:szCs w:val="16"/>
          </w:rPr>
          <w:t>w</w:t>
        </w:r>
        <w:r w:rsidRPr="0035363A">
          <w:rPr>
            <w:rFonts w:ascii="Arial" w:hAnsi="Arial" w:cs="Arial"/>
            <w:color w:val="231F20"/>
            <w:sz w:val="16"/>
            <w:szCs w:val="16"/>
          </w:rPr>
          <w:t>.anl.go</w:t>
        </w:r>
        <w:r w:rsidRPr="0035363A">
          <w:rPr>
            <w:rFonts w:ascii="Arial" w:hAnsi="Arial" w:cs="Arial"/>
            <w:color w:val="231F20"/>
            <w:spacing w:val="-12"/>
            <w:sz w:val="16"/>
            <w:szCs w:val="16"/>
          </w:rPr>
          <w:t>v</w:t>
        </w:r>
        <w:r w:rsidRPr="0035363A">
          <w:rPr>
            <w:rFonts w:ascii="Arial" w:hAnsi="Arial" w:cs="Arial"/>
            <w:color w:val="231F20"/>
            <w:sz w:val="16"/>
            <w:szCs w:val="16"/>
          </w:rPr>
          <w:t>.</w:t>
        </w:r>
      </w:hyperlink>
    </w:p>
    <w:p w:rsidR="00FF419D" w:rsidRPr="0035363A" w:rsidRDefault="00FF419D" w:rsidP="00FF419D">
      <w:pPr>
        <w:widowControl w:val="0"/>
        <w:kinsoku w:val="0"/>
        <w:overflowPunct w:val="0"/>
        <w:autoSpaceDE w:val="0"/>
        <w:autoSpaceDN w:val="0"/>
        <w:adjustRightInd w:val="0"/>
        <w:spacing w:before="9" w:line="100" w:lineRule="exact"/>
        <w:jc w:val="left"/>
        <w:rPr>
          <w:sz w:val="10"/>
          <w:szCs w:val="1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before="79" w:line="240" w:lineRule="auto"/>
        <w:ind w:left="100"/>
        <w:jc w:val="left"/>
        <w:rPr>
          <w:rFonts w:ascii="Arial" w:hAnsi="Arial" w:cs="Arial"/>
          <w:color w:val="000000"/>
          <w:sz w:val="16"/>
          <w:szCs w:val="16"/>
        </w:rPr>
      </w:pPr>
      <w:r w:rsidRPr="0035363A">
        <w:rPr>
          <w:rFonts w:ascii="Arial" w:hAnsi="Arial" w:cs="Arial"/>
          <w:b/>
          <w:bCs/>
          <w:color w:val="231F20"/>
          <w:sz w:val="16"/>
          <w:szCs w:val="16"/>
        </w:rPr>
        <w:t>DOCUMENT</w:t>
      </w:r>
      <w:r w:rsidRPr="0035363A">
        <w:rPr>
          <w:rFonts w:ascii="Arial" w:hAnsi="Arial" w:cs="Arial"/>
          <w:b/>
          <w:bCs/>
          <w:color w:val="231F20"/>
          <w:spacing w:val="-15"/>
          <w:sz w:val="16"/>
          <w:szCs w:val="16"/>
        </w:rPr>
        <w:t xml:space="preserve"> </w:t>
      </w:r>
      <w:r w:rsidRPr="0035363A">
        <w:rPr>
          <w:rFonts w:ascii="Arial" w:hAnsi="Arial" w:cs="Arial"/>
          <w:b/>
          <w:bCs/>
          <w:color w:val="231F20"/>
          <w:spacing w:val="-12"/>
          <w:sz w:val="16"/>
          <w:szCs w:val="16"/>
        </w:rPr>
        <w:t>A</w:t>
      </w:r>
      <w:r w:rsidRPr="0035363A">
        <w:rPr>
          <w:rFonts w:ascii="Arial" w:hAnsi="Arial" w:cs="Arial"/>
          <w:b/>
          <w:bCs/>
          <w:color w:val="231F20"/>
          <w:spacing w:val="-13"/>
          <w:sz w:val="16"/>
          <w:szCs w:val="16"/>
        </w:rPr>
        <w:t>V</w:t>
      </w:r>
      <w:r w:rsidRPr="0035363A">
        <w:rPr>
          <w:rFonts w:ascii="Arial" w:hAnsi="Arial" w:cs="Arial"/>
          <w:b/>
          <w:bCs/>
          <w:color w:val="231F20"/>
          <w:sz w:val="16"/>
          <w:szCs w:val="16"/>
        </w:rPr>
        <w:t>AILABILITY</w:t>
      </w:r>
    </w:p>
    <w:p w:rsidR="00FF419D" w:rsidRPr="0035363A" w:rsidRDefault="00FF419D" w:rsidP="00FF419D">
      <w:pPr>
        <w:widowControl w:val="0"/>
        <w:kinsoku w:val="0"/>
        <w:overflowPunct w:val="0"/>
        <w:autoSpaceDE w:val="0"/>
        <w:autoSpaceDN w:val="0"/>
        <w:adjustRightInd w:val="0"/>
        <w:spacing w:before="6" w:line="120" w:lineRule="exact"/>
        <w:jc w:val="left"/>
        <w:rPr>
          <w:sz w:val="12"/>
          <w:szCs w:val="12"/>
        </w:rPr>
      </w:pPr>
    </w:p>
    <w:p w:rsidR="00FF419D" w:rsidRPr="0035363A" w:rsidRDefault="00FF419D" w:rsidP="00FF419D">
      <w:pPr>
        <w:widowControl w:val="0"/>
        <w:kinsoku w:val="0"/>
        <w:overflowPunct w:val="0"/>
        <w:autoSpaceDE w:val="0"/>
        <w:autoSpaceDN w:val="0"/>
        <w:adjustRightInd w:val="0"/>
        <w:spacing w:line="287" w:lineRule="auto"/>
        <w:ind w:left="300" w:right="3133"/>
        <w:rPr>
          <w:rFonts w:ascii="Arial" w:hAnsi="Arial" w:cs="Arial"/>
          <w:color w:val="000000"/>
          <w:sz w:val="16"/>
          <w:szCs w:val="16"/>
        </w:rPr>
      </w:pPr>
      <w:r w:rsidRPr="0035363A">
        <w:rPr>
          <w:rFonts w:ascii="Arial" w:hAnsi="Arial" w:cs="Arial"/>
          <w:b/>
          <w:bCs/>
          <w:color w:val="231F20"/>
          <w:sz w:val="16"/>
          <w:szCs w:val="16"/>
        </w:rPr>
        <w:t>Online</w:t>
      </w:r>
      <w:r w:rsidRPr="0035363A">
        <w:rPr>
          <w:rFonts w:ascii="Arial" w:hAnsi="Arial" w:cs="Arial"/>
          <w:b/>
          <w:bCs/>
          <w:color w:val="231F20"/>
          <w:spacing w:val="-7"/>
          <w:sz w:val="16"/>
          <w:szCs w:val="16"/>
        </w:rPr>
        <w:t xml:space="preserve"> </w:t>
      </w:r>
      <w:r w:rsidRPr="0035363A">
        <w:rPr>
          <w:rFonts w:ascii="Arial" w:hAnsi="Arial" w:cs="Arial"/>
          <w:b/>
          <w:bCs/>
          <w:color w:val="231F20"/>
          <w:sz w:val="16"/>
          <w:szCs w:val="16"/>
        </w:rPr>
        <w:t>Access:</w:t>
      </w:r>
      <w:r w:rsidRPr="0035363A">
        <w:rPr>
          <w:rFonts w:ascii="Arial" w:hAnsi="Arial" w:cs="Arial"/>
          <w:b/>
          <w:bCs/>
          <w:color w:val="231F20"/>
          <w:spacing w:val="-1"/>
          <w:sz w:val="16"/>
          <w:szCs w:val="16"/>
        </w:rPr>
        <w:t xml:space="preserve"> </w:t>
      </w:r>
      <w:r w:rsidRPr="0035363A">
        <w:rPr>
          <w:rFonts w:ascii="Arial" w:hAnsi="Arial" w:cs="Arial"/>
          <w:color w:val="231F20"/>
          <w:sz w:val="16"/>
          <w:szCs w:val="16"/>
        </w:rPr>
        <w:t>U.S.</w:t>
      </w:r>
      <w:r w:rsidRPr="0035363A">
        <w:rPr>
          <w:rFonts w:ascii="Arial" w:hAnsi="Arial" w:cs="Arial"/>
          <w:color w:val="231F20"/>
          <w:spacing w:val="-1"/>
          <w:sz w:val="16"/>
          <w:szCs w:val="16"/>
        </w:rPr>
        <w:t xml:space="preserve"> </w:t>
      </w:r>
      <w:r w:rsidRPr="0035363A">
        <w:rPr>
          <w:rFonts w:ascii="Arial" w:hAnsi="Arial" w:cs="Arial"/>
          <w:color w:val="231F20"/>
          <w:sz w:val="16"/>
          <w:szCs w:val="16"/>
        </w:rPr>
        <w:t>Department</w:t>
      </w:r>
      <w:r w:rsidRPr="0035363A">
        <w:rPr>
          <w:rFonts w:ascii="Arial" w:hAnsi="Arial" w:cs="Arial"/>
          <w:color w:val="231F20"/>
          <w:spacing w:val="-2"/>
          <w:sz w:val="16"/>
          <w:szCs w:val="16"/>
        </w:rPr>
        <w:t xml:space="preserve"> </w:t>
      </w:r>
      <w:r w:rsidRPr="0035363A">
        <w:rPr>
          <w:rFonts w:ascii="Arial" w:hAnsi="Arial" w:cs="Arial"/>
          <w:color w:val="231F20"/>
          <w:sz w:val="16"/>
          <w:szCs w:val="16"/>
        </w:rPr>
        <w:t>of</w:t>
      </w:r>
      <w:r w:rsidRPr="0035363A">
        <w:rPr>
          <w:rFonts w:ascii="Arial" w:hAnsi="Arial" w:cs="Arial"/>
          <w:color w:val="231F20"/>
          <w:spacing w:val="-1"/>
          <w:sz w:val="16"/>
          <w:szCs w:val="16"/>
        </w:rPr>
        <w:t xml:space="preserve"> </w:t>
      </w:r>
      <w:r w:rsidRPr="0035363A">
        <w:rPr>
          <w:rFonts w:ascii="Arial" w:hAnsi="Arial" w:cs="Arial"/>
          <w:color w:val="231F20"/>
          <w:sz w:val="16"/>
          <w:szCs w:val="16"/>
        </w:rPr>
        <w:t>Energy</w:t>
      </w:r>
      <w:r w:rsidRPr="0035363A">
        <w:rPr>
          <w:rFonts w:ascii="Arial" w:hAnsi="Arial" w:cs="Arial"/>
          <w:color w:val="231F20"/>
          <w:spacing w:val="-2"/>
          <w:sz w:val="16"/>
          <w:szCs w:val="16"/>
        </w:rPr>
        <w:t xml:space="preserve"> </w:t>
      </w:r>
      <w:r w:rsidRPr="0035363A">
        <w:rPr>
          <w:rFonts w:ascii="Arial" w:hAnsi="Arial" w:cs="Arial"/>
          <w:color w:val="231F20"/>
          <w:sz w:val="16"/>
          <w:szCs w:val="16"/>
        </w:rPr>
        <w:t>(DOE)</w:t>
      </w:r>
      <w:r w:rsidRPr="0035363A">
        <w:rPr>
          <w:rFonts w:ascii="Arial" w:hAnsi="Arial" w:cs="Arial"/>
          <w:color w:val="231F20"/>
          <w:spacing w:val="-1"/>
          <w:sz w:val="16"/>
          <w:szCs w:val="16"/>
        </w:rPr>
        <w:t xml:space="preserve"> </w:t>
      </w:r>
      <w:r w:rsidRPr="0035363A">
        <w:rPr>
          <w:rFonts w:ascii="Arial" w:hAnsi="Arial" w:cs="Arial"/>
          <w:color w:val="231F20"/>
          <w:sz w:val="16"/>
          <w:szCs w:val="16"/>
        </w:rPr>
        <w:t>reports</w:t>
      </w:r>
      <w:r w:rsidRPr="0035363A">
        <w:rPr>
          <w:rFonts w:ascii="Arial" w:hAnsi="Arial" w:cs="Arial"/>
          <w:color w:val="231F20"/>
          <w:spacing w:val="-2"/>
          <w:sz w:val="16"/>
          <w:szCs w:val="16"/>
        </w:rPr>
        <w:t xml:space="preserve"> </w:t>
      </w:r>
      <w:r w:rsidRPr="0035363A">
        <w:rPr>
          <w:rFonts w:ascii="Arial" w:hAnsi="Arial" w:cs="Arial"/>
          <w:color w:val="231F20"/>
          <w:sz w:val="16"/>
          <w:szCs w:val="16"/>
        </w:rPr>
        <w:t>produced</w:t>
      </w:r>
      <w:r w:rsidRPr="0035363A">
        <w:rPr>
          <w:rFonts w:ascii="Arial" w:hAnsi="Arial" w:cs="Arial"/>
          <w:color w:val="231F20"/>
          <w:spacing w:val="-2"/>
          <w:sz w:val="16"/>
          <w:szCs w:val="16"/>
        </w:rPr>
        <w:t xml:space="preserve"> </w:t>
      </w:r>
      <w:r w:rsidRPr="0035363A">
        <w:rPr>
          <w:rFonts w:ascii="Arial" w:hAnsi="Arial" w:cs="Arial"/>
          <w:color w:val="231F20"/>
          <w:sz w:val="16"/>
          <w:szCs w:val="16"/>
        </w:rPr>
        <w:t>after</w:t>
      </w:r>
      <w:r w:rsidRPr="0035363A">
        <w:rPr>
          <w:rFonts w:ascii="Arial" w:hAnsi="Arial" w:cs="Arial"/>
          <w:color w:val="231F20"/>
          <w:spacing w:val="-1"/>
          <w:sz w:val="16"/>
          <w:szCs w:val="16"/>
        </w:rPr>
        <w:t xml:space="preserve"> </w:t>
      </w:r>
      <w:r w:rsidRPr="0035363A">
        <w:rPr>
          <w:rFonts w:ascii="Arial" w:hAnsi="Arial" w:cs="Arial"/>
          <w:color w:val="231F20"/>
          <w:sz w:val="16"/>
          <w:szCs w:val="16"/>
        </w:rPr>
        <w:t>1991</w:t>
      </w:r>
      <w:r w:rsidRPr="0035363A">
        <w:rPr>
          <w:rFonts w:ascii="Arial" w:hAnsi="Arial" w:cs="Arial"/>
          <w:color w:val="231F20"/>
          <w:spacing w:val="-2"/>
          <w:sz w:val="16"/>
          <w:szCs w:val="16"/>
        </w:rPr>
        <w:t xml:space="preserve"> </w:t>
      </w:r>
      <w:r w:rsidRPr="0035363A">
        <w:rPr>
          <w:rFonts w:ascii="Arial" w:hAnsi="Arial" w:cs="Arial"/>
          <w:color w:val="231F20"/>
          <w:sz w:val="16"/>
          <w:szCs w:val="16"/>
        </w:rPr>
        <w:t>and</w:t>
      </w:r>
      <w:r w:rsidRPr="0035363A">
        <w:rPr>
          <w:rFonts w:ascii="Arial" w:hAnsi="Arial" w:cs="Arial"/>
          <w:color w:val="231F20"/>
          <w:spacing w:val="-2"/>
          <w:sz w:val="16"/>
          <w:szCs w:val="16"/>
        </w:rPr>
        <w:t xml:space="preserve"> </w:t>
      </w:r>
      <w:r w:rsidRPr="0035363A">
        <w:rPr>
          <w:rFonts w:ascii="Arial" w:hAnsi="Arial" w:cs="Arial"/>
          <w:color w:val="231F20"/>
          <w:sz w:val="16"/>
          <w:szCs w:val="16"/>
        </w:rPr>
        <w:t>a growing</w:t>
      </w:r>
      <w:r w:rsidRPr="0035363A">
        <w:rPr>
          <w:rFonts w:ascii="Arial" w:hAnsi="Arial" w:cs="Arial"/>
          <w:color w:val="231F20"/>
          <w:spacing w:val="-2"/>
          <w:sz w:val="16"/>
          <w:szCs w:val="16"/>
        </w:rPr>
        <w:t xml:space="preserve"> </w:t>
      </w:r>
      <w:r w:rsidRPr="0035363A">
        <w:rPr>
          <w:rFonts w:ascii="Arial" w:hAnsi="Arial" w:cs="Arial"/>
          <w:color w:val="231F20"/>
          <w:sz w:val="16"/>
          <w:szCs w:val="16"/>
        </w:rPr>
        <w:t>number</w:t>
      </w:r>
      <w:r w:rsidRPr="0035363A">
        <w:rPr>
          <w:rFonts w:ascii="Arial" w:hAnsi="Arial" w:cs="Arial"/>
          <w:color w:val="231F20"/>
          <w:spacing w:val="-1"/>
          <w:sz w:val="16"/>
          <w:szCs w:val="16"/>
        </w:rPr>
        <w:t xml:space="preserve"> </w:t>
      </w:r>
      <w:r w:rsidRPr="0035363A">
        <w:rPr>
          <w:rFonts w:ascii="Arial" w:hAnsi="Arial" w:cs="Arial"/>
          <w:color w:val="231F20"/>
          <w:sz w:val="16"/>
          <w:szCs w:val="16"/>
        </w:rPr>
        <w:t>of pre-1991</w:t>
      </w:r>
      <w:r w:rsidRPr="0035363A">
        <w:rPr>
          <w:rFonts w:ascii="Arial" w:hAnsi="Arial" w:cs="Arial"/>
          <w:color w:val="231F20"/>
          <w:spacing w:val="-1"/>
          <w:sz w:val="16"/>
          <w:szCs w:val="16"/>
        </w:rPr>
        <w:t xml:space="preserve"> </w:t>
      </w:r>
      <w:r w:rsidRPr="0035363A">
        <w:rPr>
          <w:rFonts w:ascii="Arial" w:hAnsi="Arial" w:cs="Arial"/>
          <w:color w:val="231F20"/>
          <w:sz w:val="16"/>
          <w:szCs w:val="16"/>
        </w:rPr>
        <w:t>documents</w:t>
      </w:r>
      <w:r w:rsidRPr="0035363A">
        <w:rPr>
          <w:rFonts w:ascii="Arial" w:hAnsi="Arial" w:cs="Arial"/>
          <w:color w:val="231F20"/>
          <w:spacing w:val="-1"/>
          <w:sz w:val="16"/>
          <w:szCs w:val="16"/>
        </w:rPr>
        <w:t xml:space="preserve"> </w:t>
      </w:r>
      <w:r w:rsidRPr="0035363A">
        <w:rPr>
          <w:rFonts w:ascii="Arial" w:hAnsi="Arial" w:cs="Arial"/>
          <w:color w:val="231F20"/>
          <w:sz w:val="16"/>
          <w:szCs w:val="16"/>
        </w:rPr>
        <w:t>are</w:t>
      </w:r>
      <w:r w:rsidRPr="0035363A">
        <w:rPr>
          <w:rFonts w:ascii="Arial" w:hAnsi="Arial" w:cs="Arial"/>
          <w:color w:val="231F20"/>
          <w:spacing w:val="-1"/>
          <w:sz w:val="16"/>
          <w:szCs w:val="16"/>
        </w:rPr>
        <w:t xml:space="preserve"> </w:t>
      </w:r>
      <w:r w:rsidRPr="0035363A">
        <w:rPr>
          <w:rFonts w:ascii="Arial" w:hAnsi="Arial" w:cs="Arial"/>
          <w:color w:val="231F20"/>
          <w:sz w:val="16"/>
          <w:szCs w:val="16"/>
        </w:rPr>
        <w:t>available</w:t>
      </w:r>
      <w:r w:rsidRPr="0035363A">
        <w:rPr>
          <w:rFonts w:ascii="Arial" w:hAnsi="Arial" w:cs="Arial"/>
          <w:color w:val="231F20"/>
          <w:spacing w:val="-1"/>
          <w:sz w:val="16"/>
          <w:szCs w:val="16"/>
        </w:rPr>
        <w:t xml:space="preserve"> </w:t>
      </w:r>
      <w:r w:rsidRPr="0035363A">
        <w:rPr>
          <w:rFonts w:ascii="Arial" w:hAnsi="Arial" w:cs="Arial"/>
          <w:color w:val="231F20"/>
          <w:sz w:val="16"/>
          <w:szCs w:val="16"/>
        </w:rPr>
        <w:t>free</w:t>
      </w:r>
      <w:r w:rsidRPr="0035363A">
        <w:rPr>
          <w:rFonts w:ascii="Arial" w:hAnsi="Arial" w:cs="Arial"/>
          <w:color w:val="231F20"/>
          <w:spacing w:val="-1"/>
          <w:sz w:val="16"/>
          <w:szCs w:val="16"/>
        </w:rPr>
        <w:t xml:space="preserve"> </w:t>
      </w:r>
      <w:r w:rsidR="00F8723D" w:rsidRPr="00F8723D">
        <w:rPr>
          <w:rFonts w:ascii="Arial" w:hAnsi="Arial" w:cs="Arial"/>
          <w:color w:val="231F20"/>
          <w:sz w:val="16"/>
          <w:szCs w:val="16"/>
        </w:rPr>
        <w:t>at OSTI.GOV (</w:t>
      </w:r>
      <w:hyperlink r:id="rId10" w:history="1">
        <w:r w:rsidR="00F8723D" w:rsidRPr="00647438">
          <w:rPr>
            <w:rStyle w:val="Hyperlink"/>
            <w:rFonts w:ascii="Arial" w:hAnsi="Arial" w:cs="Arial"/>
            <w:sz w:val="16"/>
            <w:szCs w:val="16"/>
          </w:rPr>
          <w:t>http://www.osti.gov/</w:t>
        </w:r>
      </w:hyperlink>
      <w:r w:rsidR="00F8723D" w:rsidRPr="00F8723D">
        <w:rPr>
          <w:rFonts w:ascii="Arial" w:hAnsi="Arial" w:cs="Arial"/>
          <w:color w:val="231F20"/>
          <w:sz w:val="16"/>
          <w:szCs w:val="16"/>
        </w:rPr>
        <w:t>), a service of the US Dept. of Energy’s Office of Scientific and Technical Information.</w:t>
      </w:r>
    </w:p>
    <w:p w:rsidR="00FF419D" w:rsidRPr="0035363A" w:rsidRDefault="00FF419D" w:rsidP="00FF419D">
      <w:pPr>
        <w:widowControl w:val="0"/>
        <w:kinsoku w:val="0"/>
        <w:overflowPunct w:val="0"/>
        <w:autoSpaceDE w:val="0"/>
        <w:autoSpaceDN w:val="0"/>
        <w:adjustRightInd w:val="0"/>
        <w:spacing w:before="1" w:line="180" w:lineRule="exact"/>
        <w:jc w:val="left"/>
        <w:rPr>
          <w:sz w:val="18"/>
          <w:szCs w:val="18"/>
        </w:rPr>
      </w:pPr>
    </w:p>
    <w:p w:rsidR="00FF419D" w:rsidRPr="0035363A" w:rsidRDefault="00FF419D" w:rsidP="00FF419D">
      <w:pPr>
        <w:widowControl w:val="0"/>
        <w:kinsoku w:val="0"/>
        <w:overflowPunct w:val="0"/>
        <w:autoSpaceDE w:val="0"/>
        <w:autoSpaceDN w:val="0"/>
        <w:adjustRightInd w:val="0"/>
        <w:spacing w:line="287" w:lineRule="auto"/>
        <w:ind w:left="100" w:right="4132"/>
        <w:jc w:val="left"/>
        <w:rPr>
          <w:rFonts w:ascii="Arial" w:hAnsi="Arial" w:cs="Arial"/>
          <w:color w:val="000000"/>
          <w:sz w:val="16"/>
          <w:szCs w:val="16"/>
        </w:rPr>
      </w:pPr>
      <w:r w:rsidRPr="0035363A">
        <w:rPr>
          <w:rFonts w:ascii="Arial" w:hAnsi="Arial" w:cs="Arial"/>
          <w:b/>
          <w:bCs/>
          <w:color w:val="231F20"/>
          <w:sz w:val="16"/>
          <w:szCs w:val="16"/>
        </w:rPr>
        <w:t>Reports</w:t>
      </w:r>
      <w:r w:rsidRPr="0035363A">
        <w:rPr>
          <w:rFonts w:ascii="Arial" w:hAnsi="Arial" w:cs="Arial"/>
          <w:b/>
          <w:bCs/>
          <w:color w:val="231F20"/>
          <w:spacing w:val="-3"/>
          <w:sz w:val="16"/>
          <w:szCs w:val="16"/>
        </w:rPr>
        <w:t xml:space="preserve"> </w:t>
      </w:r>
      <w:r w:rsidRPr="0035363A">
        <w:rPr>
          <w:rFonts w:ascii="Arial" w:hAnsi="Arial" w:cs="Arial"/>
          <w:b/>
          <w:bCs/>
          <w:color w:val="231F20"/>
          <w:sz w:val="16"/>
          <w:szCs w:val="16"/>
        </w:rPr>
        <w:t>not</w:t>
      </w:r>
      <w:r w:rsidRPr="0035363A">
        <w:rPr>
          <w:rFonts w:ascii="Arial" w:hAnsi="Arial" w:cs="Arial"/>
          <w:b/>
          <w:bCs/>
          <w:color w:val="231F20"/>
          <w:spacing w:val="-1"/>
          <w:sz w:val="16"/>
          <w:szCs w:val="16"/>
        </w:rPr>
        <w:t xml:space="preserve"> </w:t>
      </w:r>
      <w:r w:rsidRPr="0035363A">
        <w:rPr>
          <w:rFonts w:ascii="Arial" w:hAnsi="Arial" w:cs="Arial"/>
          <w:b/>
          <w:bCs/>
          <w:color w:val="231F20"/>
          <w:sz w:val="16"/>
          <w:szCs w:val="16"/>
        </w:rPr>
        <w:t>in</w:t>
      </w:r>
      <w:r w:rsidRPr="0035363A">
        <w:rPr>
          <w:rFonts w:ascii="Arial" w:hAnsi="Arial" w:cs="Arial"/>
          <w:b/>
          <w:bCs/>
          <w:color w:val="231F20"/>
          <w:spacing w:val="-2"/>
          <w:sz w:val="16"/>
          <w:szCs w:val="16"/>
        </w:rPr>
        <w:t xml:space="preserve"> </w:t>
      </w:r>
      <w:r w:rsidRPr="0035363A">
        <w:rPr>
          <w:rFonts w:ascii="Arial" w:hAnsi="Arial" w:cs="Arial"/>
          <w:b/>
          <w:bCs/>
          <w:color w:val="231F20"/>
          <w:sz w:val="16"/>
          <w:szCs w:val="16"/>
        </w:rPr>
        <w:t>digital</w:t>
      </w:r>
      <w:r w:rsidRPr="0035363A">
        <w:rPr>
          <w:rFonts w:ascii="Arial" w:hAnsi="Arial" w:cs="Arial"/>
          <w:b/>
          <w:bCs/>
          <w:color w:val="231F20"/>
          <w:spacing w:val="-1"/>
          <w:sz w:val="16"/>
          <w:szCs w:val="16"/>
        </w:rPr>
        <w:t xml:space="preserve"> </w:t>
      </w:r>
      <w:r w:rsidRPr="0035363A">
        <w:rPr>
          <w:rFonts w:ascii="Arial" w:hAnsi="Arial" w:cs="Arial"/>
          <w:b/>
          <w:bCs/>
          <w:color w:val="231F20"/>
          <w:sz w:val="16"/>
          <w:szCs w:val="16"/>
        </w:rPr>
        <w:t>format</w:t>
      </w:r>
      <w:r w:rsidRPr="0035363A">
        <w:rPr>
          <w:rFonts w:ascii="Arial" w:hAnsi="Arial" w:cs="Arial"/>
          <w:b/>
          <w:bCs/>
          <w:color w:val="231F20"/>
          <w:spacing w:val="-3"/>
          <w:sz w:val="16"/>
          <w:szCs w:val="16"/>
        </w:rPr>
        <w:t xml:space="preserve"> </w:t>
      </w:r>
      <w:r w:rsidRPr="0035363A">
        <w:rPr>
          <w:rFonts w:ascii="Arial" w:hAnsi="Arial" w:cs="Arial"/>
          <w:b/>
          <w:bCs/>
          <w:color w:val="231F20"/>
          <w:sz w:val="16"/>
          <w:szCs w:val="16"/>
        </w:rPr>
        <w:t>may</w:t>
      </w:r>
      <w:r w:rsidRPr="0035363A">
        <w:rPr>
          <w:rFonts w:ascii="Arial" w:hAnsi="Arial" w:cs="Arial"/>
          <w:b/>
          <w:bCs/>
          <w:color w:val="231F20"/>
          <w:spacing w:val="-2"/>
          <w:sz w:val="16"/>
          <w:szCs w:val="16"/>
        </w:rPr>
        <w:t xml:space="preserve"> </w:t>
      </w:r>
      <w:r w:rsidRPr="0035363A">
        <w:rPr>
          <w:rFonts w:ascii="Arial" w:hAnsi="Arial" w:cs="Arial"/>
          <w:b/>
          <w:bCs/>
          <w:color w:val="231F20"/>
          <w:sz w:val="16"/>
          <w:szCs w:val="16"/>
        </w:rPr>
        <w:t>be</w:t>
      </w:r>
      <w:r w:rsidRPr="0035363A">
        <w:rPr>
          <w:rFonts w:ascii="Arial" w:hAnsi="Arial" w:cs="Arial"/>
          <w:b/>
          <w:bCs/>
          <w:color w:val="231F20"/>
          <w:spacing w:val="-1"/>
          <w:sz w:val="16"/>
          <w:szCs w:val="16"/>
        </w:rPr>
        <w:t xml:space="preserve"> </w:t>
      </w:r>
      <w:r w:rsidRPr="0035363A">
        <w:rPr>
          <w:rFonts w:ascii="Arial" w:hAnsi="Arial" w:cs="Arial"/>
          <w:b/>
          <w:bCs/>
          <w:color w:val="231F20"/>
          <w:sz w:val="16"/>
          <w:szCs w:val="16"/>
        </w:rPr>
        <w:t>purchased</w:t>
      </w:r>
      <w:r w:rsidRPr="0035363A">
        <w:rPr>
          <w:rFonts w:ascii="Arial" w:hAnsi="Arial" w:cs="Arial"/>
          <w:b/>
          <w:bCs/>
          <w:color w:val="231F20"/>
          <w:spacing w:val="-3"/>
          <w:sz w:val="16"/>
          <w:szCs w:val="16"/>
        </w:rPr>
        <w:t xml:space="preserve"> </w:t>
      </w:r>
      <w:r w:rsidRPr="0035363A">
        <w:rPr>
          <w:rFonts w:ascii="Arial" w:hAnsi="Arial" w:cs="Arial"/>
          <w:b/>
          <w:bCs/>
          <w:color w:val="231F20"/>
          <w:sz w:val="16"/>
          <w:szCs w:val="16"/>
        </w:rPr>
        <w:t>by</w:t>
      </w:r>
      <w:r w:rsidRPr="0035363A">
        <w:rPr>
          <w:rFonts w:ascii="Arial" w:hAnsi="Arial" w:cs="Arial"/>
          <w:b/>
          <w:bCs/>
          <w:color w:val="231F20"/>
          <w:spacing w:val="-1"/>
          <w:sz w:val="16"/>
          <w:szCs w:val="16"/>
        </w:rPr>
        <w:t xml:space="preserve"> </w:t>
      </w:r>
      <w:r w:rsidRPr="0035363A">
        <w:rPr>
          <w:rFonts w:ascii="Arial" w:hAnsi="Arial" w:cs="Arial"/>
          <w:b/>
          <w:bCs/>
          <w:color w:val="231F20"/>
          <w:sz w:val="16"/>
          <w:szCs w:val="16"/>
        </w:rPr>
        <w:t>the</w:t>
      </w:r>
      <w:r w:rsidRPr="0035363A">
        <w:rPr>
          <w:rFonts w:ascii="Arial" w:hAnsi="Arial" w:cs="Arial"/>
          <w:b/>
          <w:bCs/>
          <w:color w:val="231F20"/>
          <w:spacing w:val="-2"/>
          <w:sz w:val="16"/>
          <w:szCs w:val="16"/>
        </w:rPr>
        <w:t xml:space="preserve"> </w:t>
      </w:r>
      <w:r w:rsidRPr="0035363A">
        <w:rPr>
          <w:rFonts w:ascii="Arial" w:hAnsi="Arial" w:cs="Arial"/>
          <w:b/>
          <w:bCs/>
          <w:color w:val="231F20"/>
          <w:sz w:val="16"/>
          <w:szCs w:val="16"/>
        </w:rPr>
        <w:t>public</w:t>
      </w:r>
      <w:r w:rsidRPr="0035363A">
        <w:rPr>
          <w:rFonts w:ascii="Arial" w:hAnsi="Arial" w:cs="Arial"/>
          <w:b/>
          <w:bCs/>
          <w:color w:val="231F20"/>
          <w:spacing w:val="-1"/>
          <w:sz w:val="16"/>
          <w:szCs w:val="16"/>
        </w:rPr>
        <w:t xml:space="preserve"> </w:t>
      </w:r>
      <w:r w:rsidRPr="0035363A">
        <w:rPr>
          <w:rFonts w:ascii="Arial" w:hAnsi="Arial" w:cs="Arial"/>
          <w:b/>
          <w:bCs/>
          <w:color w:val="231F20"/>
          <w:sz w:val="16"/>
          <w:szCs w:val="16"/>
        </w:rPr>
        <w:t>from</w:t>
      </w:r>
      <w:r w:rsidRPr="0035363A">
        <w:rPr>
          <w:rFonts w:ascii="Arial" w:hAnsi="Arial" w:cs="Arial"/>
          <w:b/>
          <w:bCs/>
          <w:color w:val="231F20"/>
          <w:spacing w:val="-3"/>
          <w:sz w:val="16"/>
          <w:szCs w:val="16"/>
        </w:rPr>
        <w:t xml:space="preserve"> </w:t>
      </w:r>
      <w:r w:rsidRPr="0035363A">
        <w:rPr>
          <w:rFonts w:ascii="Arial" w:hAnsi="Arial" w:cs="Arial"/>
          <w:b/>
          <w:bCs/>
          <w:color w:val="231F20"/>
          <w:sz w:val="16"/>
          <w:szCs w:val="16"/>
        </w:rPr>
        <w:t>the National</w:t>
      </w:r>
      <w:r w:rsidRPr="0035363A">
        <w:rPr>
          <w:rFonts w:ascii="Arial" w:hAnsi="Arial" w:cs="Arial"/>
          <w:b/>
          <w:bCs/>
          <w:color w:val="231F20"/>
          <w:spacing w:val="-7"/>
          <w:sz w:val="16"/>
          <w:szCs w:val="16"/>
        </w:rPr>
        <w:t xml:space="preserve"> </w:t>
      </w:r>
      <w:r w:rsidRPr="0035363A">
        <w:rPr>
          <w:rFonts w:ascii="Arial" w:hAnsi="Arial" w:cs="Arial"/>
          <w:b/>
          <w:bCs/>
          <w:color w:val="231F20"/>
          <w:spacing w:val="-13"/>
          <w:sz w:val="16"/>
          <w:szCs w:val="16"/>
        </w:rPr>
        <w:t>T</w:t>
      </w:r>
      <w:r w:rsidRPr="0035363A">
        <w:rPr>
          <w:rFonts w:ascii="Arial" w:hAnsi="Arial" w:cs="Arial"/>
          <w:b/>
          <w:bCs/>
          <w:color w:val="231F20"/>
          <w:sz w:val="16"/>
          <w:szCs w:val="16"/>
        </w:rPr>
        <w:t>echnical</w:t>
      </w:r>
      <w:r w:rsidRPr="0035363A">
        <w:rPr>
          <w:rFonts w:ascii="Arial" w:hAnsi="Arial" w:cs="Arial"/>
          <w:b/>
          <w:bCs/>
          <w:color w:val="231F20"/>
          <w:spacing w:val="-7"/>
          <w:sz w:val="16"/>
          <w:szCs w:val="16"/>
        </w:rPr>
        <w:t xml:space="preserve"> </w:t>
      </w:r>
      <w:r w:rsidRPr="0035363A">
        <w:rPr>
          <w:rFonts w:ascii="Arial" w:hAnsi="Arial" w:cs="Arial"/>
          <w:b/>
          <w:bCs/>
          <w:color w:val="231F20"/>
          <w:sz w:val="16"/>
          <w:szCs w:val="16"/>
        </w:rPr>
        <w:t>Information</w:t>
      </w:r>
      <w:r w:rsidRPr="0035363A">
        <w:rPr>
          <w:rFonts w:ascii="Arial" w:hAnsi="Arial" w:cs="Arial"/>
          <w:b/>
          <w:bCs/>
          <w:color w:val="231F20"/>
          <w:spacing w:val="-7"/>
          <w:sz w:val="16"/>
          <w:szCs w:val="16"/>
        </w:rPr>
        <w:t xml:space="preserve"> </w:t>
      </w:r>
      <w:r w:rsidRPr="0035363A">
        <w:rPr>
          <w:rFonts w:ascii="Arial" w:hAnsi="Arial" w:cs="Arial"/>
          <w:b/>
          <w:bCs/>
          <w:color w:val="231F20"/>
          <w:sz w:val="16"/>
          <w:szCs w:val="16"/>
        </w:rPr>
        <w:t>Service</w:t>
      </w:r>
      <w:r w:rsidRPr="0035363A">
        <w:rPr>
          <w:rFonts w:ascii="Arial" w:hAnsi="Arial" w:cs="Arial"/>
          <w:b/>
          <w:bCs/>
          <w:color w:val="231F20"/>
          <w:spacing w:val="-7"/>
          <w:sz w:val="16"/>
          <w:szCs w:val="16"/>
        </w:rPr>
        <w:t xml:space="preserve"> </w:t>
      </w:r>
      <w:r w:rsidRPr="0035363A">
        <w:rPr>
          <w:rFonts w:ascii="Arial" w:hAnsi="Arial" w:cs="Arial"/>
          <w:b/>
          <w:bCs/>
          <w:color w:val="231F20"/>
          <w:sz w:val="16"/>
          <w:szCs w:val="16"/>
        </w:rPr>
        <w:t>(NTIS):</w:t>
      </w:r>
    </w:p>
    <w:p w:rsidR="00FF419D" w:rsidRPr="0035363A" w:rsidRDefault="00FF419D" w:rsidP="00FF419D">
      <w:pPr>
        <w:widowControl w:val="0"/>
        <w:kinsoku w:val="0"/>
        <w:overflowPunct w:val="0"/>
        <w:autoSpaceDE w:val="0"/>
        <w:autoSpaceDN w:val="0"/>
        <w:adjustRightInd w:val="0"/>
        <w:spacing w:before="1" w:line="287" w:lineRule="auto"/>
        <w:ind w:left="300" w:right="6521"/>
        <w:jc w:val="left"/>
        <w:rPr>
          <w:rFonts w:ascii="Arial" w:hAnsi="Arial" w:cs="Arial"/>
          <w:color w:val="000000"/>
          <w:sz w:val="16"/>
          <w:szCs w:val="16"/>
        </w:rPr>
      </w:pPr>
      <w:r w:rsidRPr="0035363A">
        <w:rPr>
          <w:rFonts w:ascii="Arial" w:hAnsi="Arial" w:cs="Arial"/>
          <w:color w:val="231F20"/>
          <w:sz w:val="16"/>
          <w:szCs w:val="16"/>
        </w:rPr>
        <w:t>U.S.</w:t>
      </w:r>
      <w:r w:rsidRPr="0035363A">
        <w:rPr>
          <w:rFonts w:ascii="Arial" w:hAnsi="Arial" w:cs="Arial"/>
          <w:color w:val="231F20"/>
          <w:spacing w:val="-2"/>
          <w:sz w:val="16"/>
          <w:szCs w:val="16"/>
        </w:rPr>
        <w:t xml:space="preserve"> </w:t>
      </w:r>
      <w:r w:rsidRPr="0035363A">
        <w:rPr>
          <w:rFonts w:ascii="Arial" w:hAnsi="Arial" w:cs="Arial"/>
          <w:color w:val="231F20"/>
          <w:sz w:val="16"/>
          <w:szCs w:val="16"/>
        </w:rPr>
        <w:t>Department</w:t>
      </w:r>
      <w:r w:rsidRPr="0035363A">
        <w:rPr>
          <w:rFonts w:ascii="Arial" w:hAnsi="Arial" w:cs="Arial"/>
          <w:color w:val="231F20"/>
          <w:spacing w:val="-2"/>
          <w:sz w:val="16"/>
          <w:szCs w:val="16"/>
        </w:rPr>
        <w:t xml:space="preserve"> </w:t>
      </w:r>
      <w:r w:rsidRPr="0035363A">
        <w:rPr>
          <w:rFonts w:ascii="Arial" w:hAnsi="Arial" w:cs="Arial"/>
          <w:color w:val="231F20"/>
          <w:sz w:val="16"/>
          <w:szCs w:val="16"/>
        </w:rPr>
        <w:t>of</w:t>
      </w:r>
      <w:r w:rsidRPr="0035363A">
        <w:rPr>
          <w:rFonts w:ascii="Arial" w:hAnsi="Arial" w:cs="Arial"/>
          <w:color w:val="231F20"/>
          <w:spacing w:val="-2"/>
          <w:sz w:val="16"/>
          <w:szCs w:val="16"/>
        </w:rPr>
        <w:t xml:space="preserve"> </w:t>
      </w:r>
      <w:r w:rsidRPr="0035363A">
        <w:rPr>
          <w:rFonts w:ascii="Arial" w:hAnsi="Arial" w:cs="Arial"/>
          <w:color w:val="231F20"/>
          <w:sz w:val="16"/>
          <w:szCs w:val="16"/>
        </w:rPr>
        <w:t xml:space="preserve">Commerce </w:t>
      </w:r>
      <w:r w:rsidR="00D01D1A">
        <w:rPr>
          <w:rFonts w:ascii="Arial" w:hAnsi="Arial" w:cs="Arial"/>
          <w:color w:val="231F20"/>
          <w:sz w:val="16"/>
          <w:szCs w:val="16"/>
        </w:rPr>
        <w:br/>
      </w:r>
      <w:r w:rsidRPr="0035363A">
        <w:rPr>
          <w:rFonts w:ascii="Arial" w:hAnsi="Arial" w:cs="Arial"/>
          <w:color w:val="231F20"/>
          <w:sz w:val="16"/>
          <w:szCs w:val="16"/>
        </w:rPr>
        <w:t>National</w:t>
      </w:r>
      <w:r w:rsidRPr="0035363A">
        <w:rPr>
          <w:rFonts w:ascii="Arial" w:hAnsi="Arial" w:cs="Arial"/>
          <w:color w:val="231F20"/>
          <w:spacing w:val="-3"/>
          <w:sz w:val="16"/>
          <w:szCs w:val="16"/>
        </w:rPr>
        <w:t xml:space="preserve"> </w:t>
      </w:r>
      <w:r w:rsidRPr="0035363A">
        <w:rPr>
          <w:rFonts w:ascii="Arial" w:hAnsi="Arial" w:cs="Arial"/>
          <w:color w:val="231F20"/>
          <w:spacing w:val="-19"/>
          <w:sz w:val="16"/>
          <w:szCs w:val="16"/>
        </w:rPr>
        <w:t>T</w:t>
      </w:r>
      <w:r w:rsidRPr="0035363A">
        <w:rPr>
          <w:rFonts w:ascii="Arial" w:hAnsi="Arial" w:cs="Arial"/>
          <w:color w:val="231F20"/>
          <w:sz w:val="16"/>
          <w:szCs w:val="16"/>
        </w:rPr>
        <w:t>echnical</w:t>
      </w:r>
      <w:r w:rsidRPr="0035363A">
        <w:rPr>
          <w:rFonts w:ascii="Arial" w:hAnsi="Arial" w:cs="Arial"/>
          <w:color w:val="231F20"/>
          <w:spacing w:val="-1"/>
          <w:sz w:val="16"/>
          <w:szCs w:val="16"/>
        </w:rPr>
        <w:t xml:space="preserve"> </w:t>
      </w:r>
      <w:r w:rsidRPr="0035363A">
        <w:rPr>
          <w:rFonts w:ascii="Arial" w:hAnsi="Arial" w:cs="Arial"/>
          <w:color w:val="231F20"/>
          <w:sz w:val="16"/>
          <w:szCs w:val="16"/>
        </w:rPr>
        <w:t>Information</w:t>
      </w:r>
      <w:r w:rsidRPr="0035363A">
        <w:rPr>
          <w:rFonts w:ascii="Arial" w:hAnsi="Arial" w:cs="Arial"/>
          <w:color w:val="231F20"/>
          <w:spacing w:val="-1"/>
          <w:sz w:val="16"/>
          <w:szCs w:val="16"/>
        </w:rPr>
        <w:t xml:space="preserve"> </w:t>
      </w:r>
      <w:r w:rsidRPr="0035363A">
        <w:rPr>
          <w:rFonts w:ascii="Arial" w:hAnsi="Arial" w:cs="Arial"/>
          <w:color w:val="231F20"/>
          <w:sz w:val="16"/>
          <w:szCs w:val="16"/>
        </w:rPr>
        <w:t>Service 5301</w:t>
      </w:r>
      <w:r w:rsidRPr="0035363A">
        <w:rPr>
          <w:rFonts w:ascii="Arial" w:hAnsi="Arial" w:cs="Arial"/>
          <w:color w:val="231F20"/>
          <w:spacing w:val="-1"/>
          <w:sz w:val="16"/>
          <w:szCs w:val="16"/>
        </w:rPr>
        <w:t xml:space="preserve"> </w:t>
      </w:r>
      <w:r w:rsidRPr="0035363A">
        <w:rPr>
          <w:rFonts w:ascii="Arial" w:hAnsi="Arial" w:cs="Arial"/>
          <w:color w:val="231F20"/>
          <w:sz w:val="16"/>
          <w:szCs w:val="16"/>
        </w:rPr>
        <w:t>Shawnee</w:t>
      </w:r>
      <w:r w:rsidRPr="0035363A">
        <w:rPr>
          <w:rFonts w:ascii="Arial" w:hAnsi="Arial" w:cs="Arial"/>
          <w:color w:val="231F20"/>
          <w:spacing w:val="-1"/>
          <w:sz w:val="16"/>
          <w:szCs w:val="16"/>
        </w:rPr>
        <w:t xml:space="preserve"> </w:t>
      </w:r>
      <w:r w:rsidRPr="0035363A">
        <w:rPr>
          <w:rFonts w:ascii="Arial" w:hAnsi="Arial" w:cs="Arial"/>
          <w:color w:val="231F20"/>
          <w:sz w:val="16"/>
          <w:szCs w:val="16"/>
        </w:rPr>
        <w:t>Rd</w:t>
      </w:r>
    </w:p>
    <w:p w:rsidR="00FF419D" w:rsidRPr="0035363A" w:rsidRDefault="00FF419D" w:rsidP="00FF419D">
      <w:pPr>
        <w:widowControl w:val="0"/>
        <w:kinsoku w:val="0"/>
        <w:overflowPunct w:val="0"/>
        <w:autoSpaceDE w:val="0"/>
        <w:autoSpaceDN w:val="0"/>
        <w:adjustRightInd w:val="0"/>
        <w:spacing w:before="1" w:line="240" w:lineRule="auto"/>
        <w:ind w:left="300"/>
        <w:jc w:val="left"/>
        <w:rPr>
          <w:rFonts w:ascii="Arial" w:hAnsi="Arial" w:cs="Arial"/>
          <w:color w:val="000000"/>
          <w:sz w:val="16"/>
          <w:szCs w:val="16"/>
        </w:rPr>
      </w:pPr>
      <w:r w:rsidRPr="0035363A">
        <w:rPr>
          <w:rFonts w:ascii="Arial" w:hAnsi="Arial" w:cs="Arial"/>
          <w:color w:val="231F20"/>
          <w:sz w:val="16"/>
          <w:szCs w:val="16"/>
        </w:rPr>
        <w:t>Alexandr</w:t>
      </w:r>
      <w:r>
        <w:rPr>
          <w:rFonts w:ascii="Arial" w:hAnsi="Arial" w:cs="Arial"/>
          <w:color w:val="231F20"/>
          <w:sz w:val="16"/>
          <w:szCs w:val="16"/>
        </w:rPr>
        <w:t>i</w:t>
      </w:r>
      <w:r w:rsidRPr="0035363A">
        <w:rPr>
          <w:rFonts w:ascii="Arial" w:hAnsi="Arial" w:cs="Arial"/>
          <w:color w:val="231F20"/>
          <w:sz w:val="16"/>
          <w:szCs w:val="16"/>
        </w:rPr>
        <w:t>a,</w:t>
      </w:r>
      <w:r w:rsidRPr="0035363A">
        <w:rPr>
          <w:rFonts w:ascii="Arial" w:hAnsi="Arial" w:cs="Arial"/>
          <w:color w:val="231F20"/>
          <w:spacing w:val="-2"/>
          <w:sz w:val="16"/>
          <w:szCs w:val="16"/>
        </w:rPr>
        <w:t xml:space="preserve"> </w:t>
      </w:r>
      <w:r w:rsidRPr="0035363A">
        <w:rPr>
          <w:rFonts w:ascii="Arial" w:hAnsi="Arial" w:cs="Arial"/>
          <w:color w:val="231F20"/>
          <w:spacing w:val="-13"/>
          <w:sz w:val="16"/>
          <w:szCs w:val="16"/>
        </w:rPr>
        <w:t>V</w:t>
      </w:r>
      <w:r w:rsidRPr="0035363A">
        <w:rPr>
          <w:rFonts w:ascii="Arial" w:hAnsi="Arial" w:cs="Arial"/>
          <w:color w:val="231F20"/>
          <w:sz w:val="16"/>
          <w:szCs w:val="16"/>
        </w:rPr>
        <w:t>A</w:t>
      </w:r>
      <w:r w:rsidRPr="0035363A">
        <w:rPr>
          <w:rFonts w:ascii="Arial" w:hAnsi="Arial" w:cs="Arial"/>
          <w:color w:val="231F20"/>
          <w:spacing w:val="-10"/>
          <w:sz w:val="16"/>
          <w:szCs w:val="16"/>
        </w:rPr>
        <w:t xml:space="preserve"> </w:t>
      </w:r>
      <w:r w:rsidRPr="0035363A">
        <w:rPr>
          <w:rFonts w:ascii="Arial" w:hAnsi="Arial" w:cs="Arial"/>
          <w:color w:val="231F20"/>
          <w:sz w:val="16"/>
          <w:szCs w:val="16"/>
        </w:rPr>
        <w:t>22312</w:t>
      </w:r>
    </w:p>
    <w:p w:rsidR="00FF419D" w:rsidRPr="0035363A" w:rsidRDefault="00CE27EE" w:rsidP="00FF419D">
      <w:pPr>
        <w:widowControl w:val="0"/>
        <w:kinsoku w:val="0"/>
        <w:overflowPunct w:val="0"/>
        <w:autoSpaceDE w:val="0"/>
        <w:autoSpaceDN w:val="0"/>
        <w:adjustRightInd w:val="0"/>
        <w:spacing w:before="36" w:line="240" w:lineRule="auto"/>
        <w:ind w:left="300"/>
        <w:jc w:val="left"/>
        <w:rPr>
          <w:rFonts w:ascii="Arial" w:hAnsi="Arial" w:cs="Arial"/>
          <w:color w:val="000000"/>
          <w:sz w:val="16"/>
          <w:szCs w:val="16"/>
        </w:rPr>
      </w:pPr>
      <w:hyperlink r:id="rId11" w:history="1">
        <w:r w:rsidR="00FF419D" w:rsidRPr="0035363A">
          <w:rPr>
            <w:rFonts w:ascii="Arial" w:hAnsi="Arial" w:cs="Arial"/>
            <w:b/>
            <w:bCs/>
            <w:color w:val="231F20"/>
            <w:sz w:val="16"/>
            <w:szCs w:val="16"/>
          </w:rPr>
          <w:t>ww</w:t>
        </w:r>
        <w:r w:rsidR="00FF419D" w:rsidRPr="0035363A">
          <w:rPr>
            <w:rFonts w:ascii="Arial" w:hAnsi="Arial" w:cs="Arial"/>
            <w:b/>
            <w:bCs/>
            <w:color w:val="231F20"/>
            <w:spacing w:val="-7"/>
            <w:sz w:val="16"/>
            <w:szCs w:val="16"/>
          </w:rPr>
          <w:t>w</w:t>
        </w:r>
        <w:r w:rsidR="00FF419D" w:rsidRPr="0035363A">
          <w:rPr>
            <w:rFonts w:ascii="Arial" w:hAnsi="Arial" w:cs="Arial"/>
            <w:b/>
            <w:bCs/>
            <w:color w:val="231F20"/>
            <w:sz w:val="16"/>
            <w:szCs w:val="16"/>
          </w:rPr>
          <w:t>.ntis.gov</w:t>
        </w:r>
      </w:hyperlink>
    </w:p>
    <w:p w:rsidR="00FF419D" w:rsidRPr="0035363A" w:rsidRDefault="00FF419D" w:rsidP="00FF419D">
      <w:pPr>
        <w:widowControl w:val="0"/>
        <w:kinsoku w:val="0"/>
        <w:overflowPunct w:val="0"/>
        <w:autoSpaceDE w:val="0"/>
        <w:autoSpaceDN w:val="0"/>
        <w:adjustRightInd w:val="0"/>
        <w:spacing w:before="36" w:line="240" w:lineRule="auto"/>
        <w:ind w:left="300"/>
        <w:jc w:val="left"/>
        <w:rPr>
          <w:rFonts w:ascii="Arial" w:hAnsi="Arial" w:cs="Arial"/>
          <w:color w:val="000000"/>
          <w:sz w:val="16"/>
          <w:szCs w:val="16"/>
        </w:rPr>
      </w:pPr>
      <w:r w:rsidRPr="0035363A">
        <w:rPr>
          <w:rFonts w:ascii="Arial" w:hAnsi="Arial" w:cs="Arial"/>
          <w:color w:val="231F20"/>
          <w:sz w:val="16"/>
          <w:szCs w:val="16"/>
        </w:rPr>
        <w:t>Phone:</w:t>
      </w:r>
      <w:r w:rsidRPr="0035363A">
        <w:rPr>
          <w:rFonts w:ascii="Arial" w:hAnsi="Arial" w:cs="Arial"/>
          <w:color w:val="231F20"/>
          <w:spacing w:val="-1"/>
          <w:sz w:val="16"/>
          <w:szCs w:val="16"/>
        </w:rPr>
        <w:t xml:space="preserve"> </w:t>
      </w:r>
      <w:r w:rsidRPr="0035363A">
        <w:rPr>
          <w:rFonts w:ascii="Arial" w:hAnsi="Arial" w:cs="Arial"/>
          <w:color w:val="231F20"/>
          <w:sz w:val="16"/>
          <w:szCs w:val="16"/>
        </w:rPr>
        <w:t>(800)</w:t>
      </w:r>
      <w:r w:rsidRPr="0035363A">
        <w:rPr>
          <w:rFonts w:ascii="Arial" w:hAnsi="Arial" w:cs="Arial"/>
          <w:color w:val="231F20"/>
          <w:spacing w:val="-1"/>
          <w:sz w:val="16"/>
          <w:szCs w:val="16"/>
        </w:rPr>
        <w:t xml:space="preserve"> </w:t>
      </w:r>
      <w:r w:rsidRPr="0035363A">
        <w:rPr>
          <w:rFonts w:ascii="Arial" w:hAnsi="Arial" w:cs="Arial"/>
          <w:color w:val="231F20"/>
          <w:sz w:val="16"/>
          <w:szCs w:val="16"/>
        </w:rPr>
        <w:t>553-NTIS</w:t>
      </w:r>
      <w:r w:rsidRPr="0035363A">
        <w:rPr>
          <w:rFonts w:ascii="Arial" w:hAnsi="Arial" w:cs="Arial"/>
          <w:color w:val="231F20"/>
          <w:spacing w:val="-1"/>
          <w:sz w:val="16"/>
          <w:szCs w:val="16"/>
        </w:rPr>
        <w:t xml:space="preserve"> </w:t>
      </w:r>
      <w:r w:rsidRPr="0035363A">
        <w:rPr>
          <w:rFonts w:ascii="Arial" w:hAnsi="Arial" w:cs="Arial"/>
          <w:color w:val="231F20"/>
          <w:sz w:val="16"/>
          <w:szCs w:val="16"/>
        </w:rPr>
        <w:t>(6847)</w:t>
      </w:r>
      <w:r w:rsidRPr="0035363A">
        <w:rPr>
          <w:rFonts w:ascii="Arial" w:hAnsi="Arial" w:cs="Arial"/>
          <w:color w:val="231F20"/>
          <w:spacing w:val="-1"/>
          <w:sz w:val="16"/>
          <w:szCs w:val="16"/>
        </w:rPr>
        <w:t xml:space="preserve"> </w:t>
      </w:r>
      <w:r w:rsidRPr="0035363A">
        <w:rPr>
          <w:rFonts w:ascii="Arial" w:hAnsi="Arial" w:cs="Arial"/>
          <w:color w:val="231F20"/>
          <w:sz w:val="16"/>
          <w:szCs w:val="16"/>
        </w:rPr>
        <w:t>or</w:t>
      </w:r>
      <w:r w:rsidRPr="0035363A">
        <w:rPr>
          <w:rFonts w:ascii="Arial" w:hAnsi="Arial" w:cs="Arial"/>
          <w:color w:val="231F20"/>
          <w:spacing w:val="-1"/>
          <w:sz w:val="16"/>
          <w:szCs w:val="16"/>
        </w:rPr>
        <w:t xml:space="preserve"> </w:t>
      </w:r>
      <w:r w:rsidRPr="0035363A">
        <w:rPr>
          <w:rFonts w:ascii="Arial" w:hAnsi="Arial" w:cs="Arial"/>
          <w:color w:val="231F20"/>
          <w:sz w:val="16"/>
          <w:szCs w:val="16"/>
        </w:rPr>
        <w:t>(703)</w:t>
      </w:r>
      <w:r w:rsidRPr="0035363A">
        <w:rPr>
          <w:rFonts w:ascii="Arial" w:hAnsi="Arial" w:cs="Arial"/>
          <w:color w:val="231F20"/>
          <w:spacing w:val="-1"/>
          <w:sz w:val="16"/>
          <w:szCs w:val="16"/>
        </w:rPr>
        <w:t xml:space="preserve"> </w:t>
      </w:r>
      <w:r w:rsidRPr="0035363A">
        <w:rPr>
          <w:rFonts w:ascii="Arial" w:hAnsi="Arial" w:cs="Arial"/>
          <w:color w:val="231F20"/>
          <w:sz w:val="16"/>
          <w:szCs w:val="16"/>
        </w:rPr>
        <w:t>605-6000</w:t>
      </w:r>
    </w:p>
    <w:p w:rsidR="00FF419D" w:rsidRPr="0035363A" w:rsidRDefault="00FF419D" w:rsidP="00FF419D">
      <w:pPr>
        <w:widowControl w:val="0"/>
        <w:kinsoku w:val="0"/>
        <w:overflowPunct w:val="0"/>
        <w:autoSpaceDE w:val="0"/>
        <w:autoSpaceDN w:val="0"/>
        <w:adjustRightInd w:val="0"/>
        <w:spacing w:before="36" w:line="240" w:lineRule="auto"/>
        <w:ind w:left="300"/>
        <w:jc w:val="left"/>
        <w:rPr>
          <w:rFonts w:ascii="Arial" w:hAnsi="Arial" w:cs="Arial"/>
          <w:color w:val="000000"/>
          <w:sz w:val="16"/>
          <w:szCs w:val="16"/>
        </w:rPr>
      </w:pPr>
      <w:r w:rsidRPr="0035363A">
        <w:rPr>
          <w:rFonts w:ascii="Arial" w:hAnsi="Arial" w:cs="Arial"/>
          <w:color w:val="231F20"/>
          <w:sz w:val="16"/>
          <w:szCs w:val="16"/>
        </w:rPr>
        <w:t>Fax:</w:t>
      </w:r>
      <w:r w:rsidRPr="0035363A">
        <w:rPr>
          <w:rFonts w:ascii="Arial" w:hAnsi="Arial" w:cs="Arial"/>
          <w:color w:val="231F20"/>
          <w:spacing w:val="-2"/>
          <w:sz w:val="16"/>
          <w:szCs w:val="16"/>
        </w:rPr>
        <w:t xml:space="preserve"> </w:t>
      </w:r>
      <w:r w:rsidRPr="0035363A">
        <w:rPr>
          <w:rFonts w:ascii="Arial" w:hAnsi="Arial" w:cs="Arial"/>
          <w:color w:val="231F20"/>
          <w:sz w:val="16"/>
          <w:szCs w:val="16"/>
        </w:rPr>
        <w:t>(703)</w:t>
      </w:r>
      <w:r w:rsidRPr="0035363A">
        <w:rPr>
          <w:rFonts w:ascii="Arial" w:hAnsi="Arial" w:cs="Arial"/>
          <w:color w:val="231F20"/>
          <w:spacing w:val="-3"/>
          <w:sz w:val="16"/>
          <w:szCs w:val="16"/>
        </w:rPr>
        <w:t xml:space="preserve"> </w:t>
      </w:r>
      <w:r w:rsidRPr="0035363A">
        <w:rPr>
          <w:rFonts w:ascii="Arial" w:hAnsi="Arial" w:cs="Arial"/>
          <w:color w:val="231F20"/>
          <w:sz w:val="16"/>
          <w:szCs w:val="16"/>
        </w:rPr>
        <w:t>605-6900</w:t>
      </w:r>
    </w:p>
    <w:p w:rsidR="00FF419D" w:rsidRPr="0035363A" w:rsidRDefault="00FF419D" w:rsidP="00FF419D">
      <w:pPr>
        <w:widowControl w:val="0"/>
        <w:kinsoku w:val="0"/>
        <w:overflowPunct w:val="0"/>
        <w:autoSpaceDE w:val="0"/>
        <w:autoSpaceDN w:val="0"/>
        <w:adjustRightInd w:val="0"/>
        <w:spacing w:before="36" w:line="240" w:lineRule="auto"/>
        <w:ind w:left="300"/>
        <w:jc w:val="left"/>
        <w:rPr>
          <w:rFonts w:ascii="Arial" w:hAnsi="Arial" w:cs="Arial"/>
          <w:color w:val="000000"/>
          <w:sz w:val="16"/>
          <w:szCs w:val="16"/>
        </w:rPr>
      </w:pPr>
      <w:r w:rsidRPr="0035363A">
        <w:rPr>
          <w:rFonts w:ascii="Arial" w:hAnsi="Arial" w:cs="Arial"/>
          <w:color w:val="231F20"/>
          <w:sz w:val="16"/>
          <w:szCs w:val="16"/>
        </w:rPr>
        <w:t>Email:</w:t>
      </w:r>
      <w:r w:rsidRPr="0035363A">
        <w:rPr>
          <w:rFonts w:ascii="Arial" w:hAnsi="Arial" w:cs="Arial"/>
          <w:color w:val="231F20"/>
          <w:spacing w:val="-14"/>
          <w:sz w:val="16"/>
          <w:szCs w:val="16"/>
        </w:rPr>
        <w:t xml:space="preserve"> </w:t>
      </w:r>
      <w:hyperlink r:id="rId12" w:history="1">
        <w:r w:rsidRPr="0035363A">
          <w:rPr>
            <w:rFonts w:ascii="Arial" w:hAnsi="Arial" w:cs="Arial"/>
            <w:b/>
            <w:bCs/>
            <w:color w:val="231F20"/>
            <w:sz w:val="16"/>
            <w:szCs w:val="16"/>
          </w:rPr>
          <w:t>orders@ntis.gov</w:t>
        </w:r>
      </w:hyperlink>
    </w:p>
    <w:p w:rsidR="00FF419D" w:rsidRPr="0035363A" w:rsidRDefault="00FF419D" w:rsidP="00FF419D">
      <w:pPr>
        <w:widowControl w:val="0"/>
        <w:kinsoku w:val="0"/>
        <w:overflowPunct w:val="0"/>
        <w:autoSpaceDE w:val="0"/>
        <w:autoSpaceDN w:val="0"/>
        <w:adjustRightInd w:val="0"/>
        <w:spacing w:before="16" w:line="200" w:lineRule="exact"/>
        <w:jc w:val="left"/>
        <w:rPr>
          <w:sz w:val="20"/>
        </w:rPr>
      </w:pPr>
    </w:p>
    <w:p w:rsidR="00FF419D" w:rsidRPr="00606D1D" w:rsidRDefault="00FF419D" w:rsidP="00606D1D">
      <w:pPr>
        <w:spacing w:line="276" w:lineRule="auto"/>
        <w:ind w:left="90"/>
        <w:jc w:val="left"/>
        <w:rPr>
          <w:rFonts w:ascii="Arial" w:hAnsi="Arial" w:cs="Arial"/>
          <w:b/>
          <w:color w:val="000000"/>
          <w:sz w:val="16"/>
          <w:szCs w:val="16"/>
        </w:rPr>
      </w:pPr>
      <w:r w:rsidRPr="00606D1D">
        <w:rPr>
          <w:rFonts w:ascii="Arial" w:hAnsi="Arial" w:cs="Arial"/>
          <w:b/>
          <w:sz w:val="16"/>
          <w:szCs w:val="16"/>
        </w:rPr>
        <w:t>Reports not in digital format are available to DOE and DOE contractors from the</w:t>
      </w:r>
      <w:r w:rsidRPr="00606D1D">
        <w:rPr>
          <w:rFonts w:ascii="Arial" w:hAnsi="Arial" w:cs="Arial"/>
          <w:b/>
          <w:bCs/>
          <w:color w:val="231F20"/>
          <w:sz w:val="16"/>
          <w:szCs w:val="16"/>
        </w:rPr>
        <w:t xml:space="preserve"> </w:t>
      </w:r>
      <w:r w:rsidR="00606D1D">
        <w:rPr>
          <w:rFonts w:ascii="Arial" w:hAnsi="Arial" w:cs="Arial"/>
          <w:b/>
          <w:bCs/>
          <w:color w:val="231F20"/>
          <w:sz w:val="16"/>
          <w:szCs w:val="16"/>
        </w:rPr>
        <w:br/>
      </w:r>
      <w:r w:rsidRPr="00606D1D">
        <w:rPr>
          <w:rFonts w:ascii="Arial" w:hAnsi="Arial" w:cs="Arial"/>
          <w:b/>
          <w:bCs/>
          <w:color w:val="231F20"/>
          <w:sz w:val="16"/>
          <w:szCs w:val="16"/>
        </w:rPr>
        <w:t xml:space="preserve">Office of Scientific and </w:t>
      </w:r>
      <w:r w:rsidRPr="00606D1D">
        <w:rPr>
          <w:rFonts w:ascii="Arial" w:hAnsi="Arial" w:cs="Arial"/>
          <w:b/>
          <w:bCs/>
          <w:color w:val="231F20"/>
          <w:spacing w:val="-13"/>
          <w:sz w:val="16"/>
          <w:szCs w:val="16"/>
        </w:rPr>
        <w:t>T</w:t>
      </w:r>
      <w:r w:rsidRPr="00606D1D">
        <w:rPr>
          <w:rFonts w:ascii="Arial" w:hAnsi="Arial" w:cs="Arial"/>
          <w:b/>
          <w:bCs/>
          <w:color w:val="231F20"/>
          <w:sz w:val="16"/>
          <w:szCs w:val="16"/>
        </w:rPr>
        <w:t>echnical Information (OSTI):</w:t>
      </w:r>
    </w:p>
    <w:p w:rsidR="00FF419D" w:rsidRPr="0035363A" w:rsidRDefault="00FF419D" w:rsidP="00FF419D">
      <w:pPr>
        <w:widowControl w:val="0"/>
        <w:kinsoku w:val="0"/>
        <w:overflowPunct w:val="0"/>
        <w:autoSpaceDE w:val="0"/>
        <w:autoSpaceDN w:val="0"/>
        <w:adjustRightInd w:val="0"/>
        <w:spacing w:before="1" w:line="240" w:lineRule="auto"/>
        <w:ind w:left="300"/>
        <w:jc w:val="left"/>
        <w:rPr>
          <w:rFonts w:ascii="Arial" w:hAnsi="Arial" w:cs="Arial"/>
          <w:color w:val="000000"/>
          <w:sz w:val="16"/>
          <w:szCs w:val="16"/>
        </w:rPr>
      </w:pPr>
      <w:r w:rsidRPr="0035363A">
        <w:rPr>
          <w:rFonts w:ascii="Arial" w:hAnsi="Arial" w:cs="Arial"/>
          <w:color w:val="231F20"/>
          <w:sz w:val="16"/>
          <w:szCs w:val="16"/>
        </w:rPr>
        <w:t>U.S.</w:t>
      </w:r>
      <w:r w:rsidRPr="0035363A">
        <w:rPr>
          <w:rFonts w:ascii="Arial" w:hAnsi="Arial" w:cs="Arial"/>
          <w:color w:val="231F20"/>
          <w:spacing w:val="-2"/>
          <w:sz w:val="16"/>
          <w:szCs w:val="16"/>
        </w:rPr>
        <w:t xml:space="preserve"> </w:t>
      </w:r>
      <w:r w:rsidRPr="0035363A">
        <w:rPr>
          <w:rFonts w:ascii="Arial" w:hAnsi="Arial" w:cs="Arial"/>
          <w:color w:val="231F20"/>
          <w:sz w:val="16"/>
          <w:szCs w:val="16"/>
        </w:rPr>
        <w:t>Department</w:t>
      </w:r>
      <w:r w:rsidRPr="0035363A">
        <w:rPr>
          <w:rFonts w:ascii="Arial" w:hAnsi="Arial" w:cs="Arial"/>
          <w:color w:val="231F20"/>
          <w:spacing w:val="-2"/>
          <w:sz w:val="16"/>
          <w:szCs w:val="16"/>
        </w:rPr>
        <w:t xml:space="preserve"> </w:t>
      </w:r>
      <w:r w:rsidRPr="0035363A">
        <w:rPr>
          <w:rFonts w:ascii="Arial" w:hAnsi="Arial" w:cs="Arial"/>
          <w:color w:val="231F20"/>
          <w:sz w:val="16"/>
          <w:szCs w:val="16"/>
        </w:rPr>
        <w:t>of</w:t>
      </w:r>
      <w:r w:rsidRPr="0035363A">
        <w:rPr>
          <w:rFonts w:ascii="Arial" w:hAnsi="Arial" w:cs="Arial"/>
          <w:color w:val="231F20"/>
          <w:spacing w:val="-2"/>
          <w:sz w:val="16"/>
          <w:szCs w:val="16"/>
        </w:rPr>
        <w:t xml:space="preserve"> </w:t>
      </w:r>
      <w:r w:rsidRPr="0035363A">
        <w:rPr>
          <w:rFonts w:ascii="Arial" w:hAnsi="Arial" w:cs="Arial"/>
          <w:color w:val="231F20"/>
          <w:sz w:val="16"/>
          <w:szCs w:val="16"/>
        </w:rPr>
        <w:t>Energy</w:t>
      </w:r>
    </w:p>
    <w:p w:rsidR="00FF419D" w:rsidRPr="0035363A" w:rsidRDefault="00FF419D" w:rsidP="00FF419D">
      <w:pPr>
        <w:widowControl w:val="0"/>
        <w:kinsoku w:val="0"/>
        <w:overflowPunct w:val="0"/>
        <w:autoSpaceDE w:val="0"/>
        <w:autoSpaceDN w:val="0"/>
        <w:adjustRightInd w:val="0"/>
        <w:spacing w:before="36" w:line="240" w:lineRule="auto"/>
        <w:ind w:left="300"/>
        <w:jc w:val="left"/>
        <w:rPr>
          <w:rFonts w:ascii="Arial" w:hAnsi="Arial" w:cs="Arial"/>
          <w:color w:val="000000"/>
          <w:sz w:val="16"/>
          <w:szCs w:val="16"/>
        </w:rPr>
      </w:pPr>
      <w:r w:rsidRPr="0035363A">
        <w:rPr>
          <w:rFonts w:ascii="Arial" w:hAnsi="Arial" w:cs="Arial"/>
          <w:color w:val="231F20"/>
          <w:sz w:val="16"/>
          <w:szCs w:val="16"/>
        </w:rPr>
        <w:t>Office of Scientific and</w:t>
      </w:r>
      <w:r w:rsidRPr="0035363A">
        <w:rPr>
          <w:rFonts w:ascii="Arial" w:hAnsi="Arial" w:cs="Arial"/>
          <w:color w:val="231F20"/>
          <w:spacing w:val="-3"/>
          <w:sz w:val="16"/>
          <w:szCs w:val="16"/>
        </w:rPr>
        <w:t xml:space="preserve"> </w:t>
      </w:r>
      <w:r w:rsidRPr="0035363A">
        <w:rPr>
          <w:rFonts w:ascii="Arial" w:hAnsi="Arial" w:cs="Arial"/>
          <w:color w:val="231F20"/>
          <w:spacing w:val="-18"/>
          <w:sz w:val="16"/>
          <w:szCs w:val="16"/>
        </w:rPr>
        <w:t>T</w:t>
      </w:r>
      <w:r w:rsidRPr="0035363A">
        <w:rPr>
          <w:rFonts w:ascii="Arial" w:hAnsi="Arial" w:cs="Arial"/>
          <w:color w:val="231F20"/>
          <w:sz w:val="16"/>
          <w:szCs w:val="16"/>
        </w:rPr>
        <w:t>echnical Information</w:t>
      </w:r>
    </w:p>
    <w:p w:rsidR="00FF419D" w:rsidRPr="0035363A" w:rsidRDefault="00FF419D" w:rsidP="00FF419D">
      <w:pPr>
        <w:widowControl w:val="0"/>
        <w:kinsoku w:val="0"/>
        <w:overflowPunct w:val="0"/>
        <w:autoSpaceDE w:val="0"/>
        <w:autoSpaceDN w:val="0"/>
        <w:adjustRightInd w:val="0"/>
        <w:spacing w:before="36" w:line="240" w:lineRule="auto"/>
        <w:ind w:left="300"/>
        <w:jc w:val="left"/>
        <w:rPr>
          <w:rFonts w:ascii="Arial" w:hAnsi="Arial" w:cs="Arial"/>
          <w:color w:val="000000"/>
          <w:sz w:val="16"/>
          <w:szCs w:val="16"/>
        </w:rPr>
      </w:pPr>
      <w:r w:rsidRPr="0035363A">
        <w:rPr>
          <w:rFonts w:ascii="Arial" w:hAnsi="Arial" w:cs="Arial"/>
          <w:color w:val="231F20"/>
          <w:spacing w:val="-22"/>
          <w:sz w:val="16"/>
          <w:szCs w:val="16"/>
        </w:rPr>
        <w:t>P</w:t>
      </w:r>
      <w:r w:rsidRPr="0035363A">
        <w:rPr>
          <w:rFonts w:ascii="Arial" w:hAnsi="Arial" w:cs="Arial"/>
          <w:color w:val="231F20"/>
          <w:sz w:val="16"/>
          <w:szCs w:val="16"/>
        </w:rPr>
        <w:t>.O.</w:t>
      </w:r>
      <w:r w:rsidRPr="0035363A">
        <w:rPr>
          <w:rFonts w:ascii="Arial" w:hAnsi="Arial" w:cs="Arial"/>
          <w:color w:val="231F20"/>
          <w:spacing w:val="-2"/>
          <w:sz w:val="16"/>
          <w:szCs w:val="16"/>
        </w:rPr>
        <w:t xml:space="preserve"> </w:t>
      </w:r>
      <w:r w:rsidRPr="0035363A">
        <w:rPr>
          <w:rFonts w:ascii="Arial" w:hAnsi="Arial" w:cs="Arial"/>
          <w:color w:val="231F20"/>
          <w:sz w:val="16"/>
          <w:szCs w:val="16"/>
        </w:rPr>
        <w:t>Box</w:t>
      </w:r>
      <w:r w:rsidRPr="0035363A">
        <w:rPr>
          <w:rFonts w:ascii="Arial" w:hAnsi="Arial" w:cs="Arial"/>
          <w:color w:val="231F20"/>
          <w:spacing w:val="-2"/>
          <w:sz w:val="16"/>
          <w:szCs w:val="16"/>
        </w:rPr>
        <w:t xml:space="preserve"> </w:t>
      </w:r>
      <w:r w:rsidRPr="0035363A">
        <w:rPr>
          <w:rFonts w:ascii="Arial" w:hAnsi="Arial" w:cs="Arial"/>
          <w:color w:val="231F20"/>
          <w:sz w:val="16"/>
          <w:szCs w:val="16"/>
        </w:rPr>
        <w:t>62</w:t>
      </w:r>
    </w:p>
    <w:p w:rsidR="00FF419D" w:rsidRPr="0035363A" w:rsidRDefault="00FF419D" w:rsidP="00FF419D">
      <w:pPr>
        <w:widowControl w:val="0"/>
        <w:kinsoku w:val="0"/>
        <w:overflowPunct w:val="0"/>
        <w:autoSpaceDE w:val="0"/>
        <w:autoSpaceDN w:val="0"/>
        <w:adjustRightInd w:val="0"/>
        <w:spacing w:before="36" w:line="240" w:lineRule="auto"/>
        <w:ind w:left="300"/>
        <w:jc w:val="left"/>
        <w:rPr>
          <w:rFonts w:ascii="Arial" w:hAnsi="Arial" w:cs="Arial"/>
          <w:color w:val="000000"/>
          <w:sz w:val="16"/>
          <w:szCs w:val="16"/>
        </w:rPr>
      </w:pPr>
      <w:r w:rsidRPr="0035363A">
        <w:rPr>
          <w:rFonts w:ascii="Arial" w:hAnsi="Arial" w:cs="Arial"/>
          <w:color w:val="231F20"/>
          <w:sz w:val="16"/>
          <w:szCs w:val="16"/>
        </w:rPr>
        <w:t>Oak</w:t>
      </w:r>
      <w:r w:rsidRPr="0035363A">
        <w:rPr>
          <w:rFonts w:ascii="Arial" w:hAnsi="Arial" w:cs="Arial"/>
          <w:color w:val="231F20"/>
          <w:spacing w:val="-1"/>
          <w:sz w:val="16"/>
          <w:szCs w:val="16"/>
        </w:rPr>
        <w:t xml:space="preserve"> </w:t>
      </w:r>
      <w:r w:rsidRPr="0035363A">
        <w:rPr>
          <w:rFonts w:ascii="Arial" w:hAnsi="Arial" w:cs="Arial"/>
          <w:color w:val="231F20"/>
          <w:sz w:val="16"/>
          <w:szCs w:val="16"/>
        </w:rPr>
        <w:t>Ridge,</w:t>
      </w:r>
      <w:r w:rsidRPr="0035363A">
        <w:rPr>
          <w:rFonts w:ascii="Arial" w:hAnsi="Arial" w:cs="Arial"/>
          <w:color w:val="231F20"/>
          <w:spacing w:val="-4"/>
          <w:sz w:val="16"/>
          <w:szCs w:val="16"/>
        </w:rPr>
        <w:t xml:space="preserve"> </w:t>
      </w:r>
      <w:r w:rsidRPr="0035363A">
        <w:rPr>
          <w:rFonts w:ascii="Arial" w:hAnsi="Arial" w:cs="Arial"/>
          <w:color w:val="231F20"/>
          <w:sz w:val="16"/>
          <w:szCs w:val="16"/>
        </w:rPr>
        <w:t>TN</w:t>
      </w:r>
      <w:r w:rsidRPr="0035363A">
        <w:rPr>
          <w:rFonts w:ascii="Arial" w:hAnsi="Arial" w:cs="Arial"/>
          <w:color w:val="231F20"/>
          <w:spacing w:val="-1"/>
          <w:sz w:val="16"/>
          <w:szCs w:val="16"/>
        </w:rPr>
        <w:t xml:space="preserve"> </w:t>
      </w:r>
      <w:r w:rsidRPr="0035363A">
        <w:rPr>
          <w:rFonts w:ascii="Arial" w:hAnsi="Arial" w:cs="Arial"/>
          <w:color w:val="231F20"/>
          <w:sz w:val="16"/>
          <w:szCs w:val="16"/>
        </w:rPr>
        <w:t>37831-0062</w:t>
      </w:r>
    </w:p>
    <w:p w:rsidR="00FF419D" w:rsidRPr="0035363A" w:rsidRDefault="00CE27EE" w:rsidP="00FF419D">
      <w:pPr>
        <w:widowControl w:val="0"/>
        <w:kinsoku w:val="0"/>
        <w:overflowPunct w:val="0"/>
        <w:autoSpaceDE w:val="0"/>
        <w:autoSpaceDN w:val="0"/>
        <w:adjustRightInd w:val="0"/>
        <w:spacing w:before="36" w:line="240" w:lineRule="auto"/>
        <w:ind w:left="300"/>
        <w:jc w:val="left"/>
        <w:rPr>
          <w:rFonts w:ascii="Arial" w:hAnsi="Arial" w:cs="Arial"/>
          <w:color w:val="000000"/>
          <w:sz w:val="16"/>
          <w:szCs w:val="16"/>
        </w:rPr>
      </w:pPr>
      <w:hyperlink r:id="rId13" w:history="1">
        <w:r w:rsidR="00FF419D" w:rsidRPr="0035363A">
          <w:rPr>
            <w:rFonts w:ascii="Arial" w:hAnsi="Arial" w:cs="Arial"/>
            <w:b/>
            <w:bCs/>
            <w:color w:val="231F20"/>
            <w:sz w:val="16"/>
            <w:szCs w:val="16"/>
          </w:rPr>
          <w:t>ww</w:t>
        </w:r>
        <w:r w:rsidR="00FF419D" w:rsidRPr="0035363A">
          <w:rPr>
            <w:rFonts w:ascii="Arial" w:hAnsi="Arial" w:cs="Arial"/>
            <w:b/>
            <w:bCs/>
            <w:color w:val="231F20"/>
            <w:spacing w:val="-7"/>
            <w:sz w:val="16"/>
            <w:szCs w:val="16"/>
          </w:rPr>
          <w:t>w</w:t>
        </w:r>
        <w:r w:rsidR="00FF419D" w:rsidRPr="0035363A">
          <w:rPr>
            <w:rFonts w:ascii="Arial" w:hAnsi="Arial" w:cs="Arial"/>
            <w:b/>
            <w:bCs/>
            <w:color w:val="231F20"/>
            <w:sz w:val="16"/>
            <w:szCs w:val="16"/>
          </w:rPr>
          <w:t>.osti.gov</w:t>
        </w:r>
      </w:hyperlink>
    </w:p>
    <w:p w:rsidR="00FF419D" w:rsidRPr="0035363A" w:rsidRDefault="00FF419D" w:rsidP="00FF419D">
      <w:pPr>
        <w:widowControl w:val="0"/>
        <w:kinsoku w:val="0"/>
        <w:overflowPunct w:val="0"/>
        <w:autoSpaceDE w:val="0"/>
        <w:autoSpaceDN w:val="0"/>
        <w:adjustRightInd w:val="0"/>
        <w:spacing w:before="36" w:line="240" w:lineRule="auto"/>
        <w:ind w:left="300"/>
        <w:jc w:val="left"/>
        <w:rPr>
          <w:rFonts w:ascii="Arial" w:hAnsi="Arial" w:cs="Arial"/>
          <w:color w:val="000000"/>
          <w:sz w:val="16"/>
          <w:szCs w:val="16"/>
        </w:rPr>
      </w:pPr>
      <w:r w:rsidRPr="0035363A">
        <w:rPr>
          <w:rFonts w:ascii="Arial" w:hAnsi="Arial" w:cs="Arial"/>
          <w:color w:val="231F20"/>
          <w:sz w:val="16"/>
          <w:szCs w:val="16"/>
        </w:rPr>
        <w:t>Phone:</w:t>
      </w:r>
      <w:r w:rsidRPr="0035363A">
        <w:rPr>
          <w:rFonts w:ascii="Arial" w:hAnsi="Arial" w:cs="Arial"/>
          <w:color w:val="231F20"/>
          <w:spacing w:val="-1"/>
          <w:sz w:val="16"/>
          <w:szCs w:val="16"/>
        </w:rPr>
        <w:t xml:space="preserve"> </w:t>
      </w:r>
      <w:r w:rsidRPr="0035363A">
        <w:rPr>
          <w:rFonts w:ascii="Arial" w:hAnsi="Arial" w:cs="Arial"/>
          <w:color w:val="231F20"/>
          <w:sz w:val="16"/>
          <w:szCs w:val="16"/>
        </w:rPr>
        <w:t>(865)</w:t>
      </w:r>
      <w:r w:rsidRPr="0035363A">
        <w:rPr>
          <w:rFonts w:ascii="Arial" w:hAnsi="Arial" w:cs="Arial"/>
          <w:color w:val="231F20"/>
          <w:spacing w:val="-1"/>
          <w:sz w:val="16"/>
          <w:szCs w:val="16"/>
        </w:rPr>
        <w:t xml:space="preserve"> </w:t>
      </w:r>
      <w:r w:rsidRPr="0035363A">
        <w:rPr>
          <w:rFonts w:ascii="Arial" w:hAnsi="Arial" w:cs="Arial"/>
          <w:color w:val="231F20"/>
          <w:sz w:val="16"/>
          <w:szCs w:val="16"/>
        </w:rPr>
        <w:t>576-8401</w:t>
      </w:r>
    </w:p>
    <w:p w:rsidR="00FF419D" w:rsidRPr="0035363A" w:rsidRDefault="00FF419D" w:rsidP="00FF419D">
      <w:pPr>
        <w:widowControl w:val="0"/>
        <w:kinsoku w:val="0"/>
        <w:overflowPunct w:val="0"/>
        <w:autoSpaceDE w:val="0"/>
        <w:autoSpaceDN w:val="0"/>
        <w:adjustRightInd w:val="0"/>
        <w:spacing w:before="36" w:line="240" w:lineRule="auto"/>
        <w:ind w:left="300"/>
        <w:jc w:val="left"/>
        <w:rPr>
          <w:rFonts w:ascii="Arial" w:hAnsi="Arial" w:cs="Arial"/>
          <w:color w:val="000000"/>
          <w:sz w:val="16"/>
          <w:szCs w:val="16"/>
        </w:rPr>
      </w:pPr>
      <w:r w:rsidRPr="0035363A">
        <w:rPr>
          <w:rFonts w:ascii="Arial" w:hAnsi="Arial" w:cs="Arial"/>
          <w:color w:val="231F20"/>
          <w:sz w:val="16"/>
          <w:szCs w:val="16"/>
        </w:rPr>
        <w:t>Fax:</w:t>
      </w:r>
      <w:r w:rsidRPr="0035363A">
        <w:rPr>
          <w:rFonts w:ascii="Arial" w:hAnsi="Arial" w:cs="Arial"/>
          <w:color w:val="231F20"/>
          <w:spacing w:val="-2"/>
          <w:sz w:val="16"/>
          <w:szCs w:val="16"/>
        </w:rPr>
        <w:t xml:space="preserve"> </w:t>
      </w:r>
      <w:r w:rsidRPr="0035363A">
        <w:rPr>
          <w:rFonts w:ascii="Arial" w:hAnsi="Arial" w:cs="Arial"/>
          <w:color w:val="231F20"/>
          <w:sz w:val="16"/>
          <w:szCs w:val="16"/>
        </w:rPr>
        <w:t>(865)</w:t>
      </w:r>
      <w:r w:rsidRPr="0035363A">
        <w:rPr>
          <w:rFonts w:ascii="Arial" w:hAnsi="Arial" w:cs="Arial"/>
          <w:color w:val="231F20"/>
          <w:spacing w:val="-3"/>
          <w:sz w:val="16"/>
          <w:szCs w:val="16"/>
        </w:rPr>
        <w:t xml:space="preserve"> </w:t>
      </w:r>
      <w:r w:rsidRPr="0035363A">
        <w:rPr>
          <w:rFonts w:ascii="Arial" w:hAnsi="Arial" w:cs="Arial"/>
          <w:color w:val="231F20"/>
          <w:sz w:val="16"/>
          <w:szCs w:val="16"/>
        </w:rPr>
        <w:t>576-5728</w:t>
      </w:r>
    </w:p>
    <w:p w:rsidR="00FF419D" w:rsidRPr="0035363A" w:rsidRDefault="00FF419D" w:rsidP="00FF419D">
      <w:pPr>
        <w:widowControl w:val="0"/>
        <w:kinsoku w:val="0"/>
        <w:overflowPunct w:val="0"/>
        <w:autoSpaceDE w:val="0"/>
        <w:autoSpaceDN w:val="0"/>
        <w:adjustRightInd w:val="0"/>
        <w:spacing w:before="36" w:line="240" w:lineRule="auto"/>
        <w:ind w:left="300"/>
        <w:jc w:val="left"/>
        <w:rPr>
          <w:rFonts w:ascii="Arial" w:hAnsi="Arial" w:cs="Arial"/>
          <w:color w:val="000000"/>
          <w:sz w:val="16"/>
          <w:szCs w:val="16"/>
        </w:rPr>
      </w:pPr>
      <w:r w:rsidRPr="0035363A">
        <w:rPr>
          <w:rFonts w:ascii="Arial" w:hAnsi="Arial" w:cs="Arial"/>
          <w:color w:val="231F20"/>
          <w:sz w:val="16"/>
          <w:szCs w:val="16"/>
        </w:rPr>
        <w:t>Email:</w:t>
      </w:r>
      <w:r w:rsidRPr="0035363A">
        <w:rPr>
          <w:rFonts w:ascii="Arial" w:hAnsi="Arial" w:cs="Arial"/>
          <w:color w:val="231F20"/>
          <w:spacing w:val="-15"/>
          <w:sz w:val="16"/>
          <w:szCs w:val="16"/>
        </w:rPr>
        <w:t xml:space="preserve"> </w:t>
      </w:r>
      <w:hyperlink r:id="rId14" w:history="1">
        <w:r w:rsidRPr="0035363A">
          <w:rPr>
            <w:rFonts w:ascii="Arial" w:hAnsi="Arial" w:cs="Arial"/>
            <w:b/>
            <w:bCs/>
            <w:color w:val="231F20"/>
            <w:sz w:val="16"/>
            <w:szCs w:val="16"/>
          </w:rPr>
          <w:t>reports@osti.gov</w:t>
        </w:r>
      </w:hyperlink>
    </w:p>
    <w:p w:rsidR="00FF419D" w:rsidRPr="0035363A" w:rsidRDefault="00FF419D" w:rsidP="00FF419D">
      <w:pPr>
        <w:widowControl w:val="0"/>
        <w:kinsoku w:val="0"/>
        <w:overflowPunct w:val="0"/>
        <w:autoSpaceDE w:val="0"/>
        <w:autoSpaceDN w:val="0"/>
        <w:adjustRightInd w:val="0"/>
        <w:spacing w:before="7" w:line="110" w:lineRule="exact"/>
        <w:jc w:val="left"/>
        <w:rPr>
          <w:sz w:val="11"/>
          <w:szCs w:val="11"/>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00" w:lineRule="exact"/>
        <w:jc w:val="left"/>
        <w:rPr>
          <w:sz w:val="20"/>
        </w:rPr>
      </w:pPr>
    </w:p>
    <w:p w:rsidR="00FF419D" w:rsidRPr="0035363A" w:rsidRDefault="00FF419D" w:rsidP="00FF419D">
      <w:pPr>
        <w:widowControl w:val="0"/>
        <w:kinsoku w:val="0"/>
        <w:overflowPunct w:val="0"/>
        <w:autoSpaceDE w:val="0"/>
        <w:autoSpaceDN w:val="0"/>
        <w:adjustRightInd w:val="0"/>
        <w:spacing w:line="240" w:lineRule="auto"/>
        <w:ind w:left="100"/>
        <w:jc w:val="left"/>
        <w:rPr>
          <w:rFonts w:ascii="Arial" w:hAnsi="Arial" w:cs="Arial"/>
          <w:color w:val="000000"/>
          <w:sz w:val="14"/>
          <w:szCs w:val="14"/>
        </w:rPr>
      </w:pPr>
      <w:r w:rsidRPr="0035363A">
        <w:rPr>
          <w:rFonts w:ascii="Arial" w:hAnsi="Arial" w:cs="Arial"/>
          <w:b/>
          <w:bCs/>
          <w:color w:val="231F20"/>
          <w:sz w:val="14"/>
          <w:szCs w:val="14"/>
        </w:rPr>
        <w:t>Disclaimer</w:t>
      </w:r>
    </w:p>
    <w:p w:rsidR="00FF419D" w:rsidRPr="0035363A" w:rsidRDefault="00FF419D" w:rsidP="00FF419D">
      <w:pPr>
        <w:widowControl w:val="0"/>
        <w:kinsoku w:val="0"/>
        <w:overflowPunct w:val="0"/>
        <w:autoSpaceDE w:val="0"/>
        <w:autoSpaceDN w:val="0"/>
        <w:adjustRightInd w:val="0"/>
        <w:spacing w:before="39" w:line="298" w:lineRule="auto"/>
        <w:ind w:left="100" w:right="1067"/>
        <w:jc w:val="left"/>
        <w:rPr>
          <w:rFonts w:ascii="Arial" w:hAnsi="Arial" w:cs="Arial"/>
          <w:color w:val="000000"/>
          <w:sz w:val="14"/>
          <w:szCs w:val="14"/>
        </w:rPr>
      </w:pPr>
      <w:r w:rsidRPr="0035363A">
        <w:rPr>
          <w:rFonts w:ascii="Arial" w:hAnsi="Arial" w:cs="Arial"/>
          <w:color w:val="231F20"/>
          <w:sz w:val="14"/>
          <w:szCs w:val="14"/>
        </w:rPr>
        <w:t>This</w:t>
      </w:r>
      <w:r w:rsidRPr="0035363A">
        <w:rPr>
          <w:rFonts w:ascii="Arial" w:hAnsi="Arial" w:cs="Arial"/>
          <w:color w:val="231F20"/>
          <w:spacing w:val="-2"/>
          <w:sz w:val="14"/>
          <w:szCs w:val="14"/>
        </w:rPr>
        <w:t xml:space="preserve"> </w:t>
      </w:r>
      <w:r w:rsidRPr="0035363A">
        <w:rPr>
          <w:rFonts w:ascii="Arial" w:hAnsi="Arial" w:cs="Arial"/>
          <w:color w:val="231F20"/>
          <w:sz w:val="14"/>
          <w:szCs w:val="14"/>
        </w:rPr>
        <w:t>report</w:t>
      </w:r>
      <w:r w:rsidRPr="0035363A">
        <w:rPr>
          <w:rFonts w:ascii="Arial" w:hAnsi="Arial" w:cs="Arial"/>
          <w:color w:val="231F20"/>
          <w:spacing w:val="-1"/>
          <w:sz w:val="14"/>
          <w:szCs w:val="14"/>
        </w:rPr>
        <w:t xml:space="preserve"> </w:t>
      </w:r>
      <w:r w:rsidRPr="0035363A">
        <w:rPr>
          <w:rFonts w:ascii="Arial" w:hAnsi="Arial" w:cs="Arial"/>
          <w:color w:val="231F20"/>
          <w:sz w:val="14"/>
          <w:szCs w:val="14"/>
        </w:rPr>
        <w:t>was</w:t>
      </w:r>
      <w:r w:rsidRPr="0035363A">
        <w:rPr>
          <w:rFonts w:ascii="Arial" w:hAnsi="Arial" w:cs="Arial"/>
          <w:color w:val="231F20"/>
          <w:spacing w:val="-2"/>
          <w:sz w:val="14"/>
          <w:szCs w:val="14"/>
        </w:rPr>
        <w:t xml:space="preserve"> </w:t>
      </w:r>
      <w:r w:rsidRPr="0035363A">
        <w:rPr>
          <w:rFonts w:ascii="Arial" w:hAnsi="Arial" w:cs="Arial"/>
          <w:color w:val="231F20"/>
          <w:sz w:val="14"/>
          <w:szCs w:val="14"/>
        </w:rPr>
        <w:t>prepared</w:t>
      </w:r>
      <w:r w:rsidRPr="0035363A">
        <w:rPr>
          <w:rFonts w:ascii="Arial" w:hAnsi="Arial" w:cs="Arial"/>
          <w:color w:val="231F20"/>
          <w:spacing w:val="-1"/>
          <w:sz w:val="14"/>
          <w:szCs w:val="14"/>
        </w:rPr>
        <w:t xml:space="preserve"> </w:t>
      </w:r>
      <w:r w:rsidRPr="0035363A">
        <w:rPr>
          <w:rFonts w:ascii="Arial" w:hAnsi="Arial" w:cs="Arial"/>
          <w:color w:val="231F20"/>
          <w:sz w:val="14"/>
          <w:szCs w:val="14"/>
        </w:rPr>
        <w:t>as</w:t>
      </w:r>
      <w:r w:rsidRPr="0035363A">
        <w:rPr>
          <w:rFonts w:ascii="Arial" w:hAnsi="Arial" w:cs="Arial"/>
          <w:color w:val="231F20"/>
          <w:spacing w:val="-2"/>
          <w:sz w:val="14"/>
          <w:szCs w:val="14"/>
        </w:rPr>
        <w:t xml:space="preserve"> </w:t>
      </w:r>
      <w:r w:rsidRPr="0035363A">
        <w:rPr>
          <w:rFonts w:ascii="Arial" w:hAnsi="Arial" w:cs="Arial"/>
          <w:color w:val="231F20"/>
          <w:sz w:val="14"/>
          <w:szCs w:val="14"/>
        </w:rPr>
        <w:t>an</w:t>
      </w:r>
      <w:r w:rsidRPr="0035363A">
        <w:rPr>
          <w:rFonts w:ascii="Arial" w:hAnsi="Arial" w:cs="Arial"/>
          <w:color w:val="231F20"/>
          <w:spacing w:val="-1"/>
          <w:sz w:val="14"/>
          <w:szCs w:val="14"/>
        </w:rPr>
        <w:t xml:space="preserve"> </w:t>
      </w:r>
      <w:r w:rsidRPr="0035363A">
        <w:rPr>
          <w:rFonts w:ascii="Arial" w:hAnsi="Arial" w:cs="Arial"/>
          <w:color w:val="231F20"/>
          <w:sz w:val="14"/>
          <w:szCs w:val="14"/>
        </w:rPr>
        <w:t>account</w:t>
      </w:r>
      <w:r w:rsidRPr="0035363A">
        <w:rPr>
          <w:rFonts w:ascii="Arial" w:hAnsi="Arial" w:cs="Arial"/>
          <w:color w:val="231F20"/>
          <w:spacing w:val="-2"/>
          <w:sz w:val="14"/>
          <w:szCs w:val="14"/>
        </w:rPr>
        <w:t xml:space="preserve"> </w:t>
      </w:r>
      <w:r w:rsidRPr="0035363A">
        <w:rPr>
          <w:rFonts w:ascii="Arial" w:hAnsi="Arial" w:cs="Arial"/>
          <w:color w:val="231F20"/>
          <w:sz w:val="14"/>
          <w:szCs w:val="14"/>
        </w:rPr>
        <w:t>of work</w:t>
      </w:r>
      <w:r w:rsidRPr="0035363A">
        <w:rPr>
          <w:rFonts w:ascii="Arial" w:hAnsi="Arial" w:cs="Arial"/>
          <w:color w:val="231F20"/>
          <w:spacing w:val="-2"/>
          <w:sz w:val="14"/>
          <w:szCs w:val="14"/>
        </w:rPr>
        <w:t xml:space="preserve"> </w:t>
      </w:r>
      <w:r w:rsidRPr="0035363A">
        <w:rPr>
          <w:rFonts w:ascii="Arial" w:hAnsi="Arial" w:cs="Arial"/>
          <w:color w:val="231F20"/>
          <w:sz w:val="14"/>
          <w:szCs w:val="14"/>
        </w:rPr>
        <w:t>sponsored</w:t>
      </w:r>
      <w:r w:rsidRPr="0035363A">
        <w:rPr>
          <w:rFonts w:ascii="Arial" w:hAnsi="Arial" w:cs="Arial"/>
          <w:color w:val="231F20"/>
          <w:spacing w:val="-1"/>
          <w:sz w:val="14"/>
          <w:szCs w:val="14"/>
        </w:rPr>
        <w:t xml:space="preserve"> </w:t>
      </w:r>
      <w:r w:rsidRPr="0035363A">
        <w:rPr>
          <w:rFonts w:ascii="Arial" w:hAnsi="Arial" w:cs="Arial"/>
          <w:color w:val="231F20"/>
          <w:sz w:val="14"/>
          <w:szCs w:val="14"/>
        </w:rPr>
        <w:t>by</w:t>
      </w:r>
      <w:r w:rsidRPr="0035363A">
        <w:rPr>
          <w:rFonts w:ascii="Arial" w:hAnsi="Arial" w:cs="Arial"/>
          <w:color w:val="231F20"/>
          <w:spacing w:val="-2"/>
          <w:sz w:val="14"/>
          <w:szCs w:val="14"/>
        </w:rPr>
        <w:t xml:space="preserve"> </w:t>
      </w:r>
      <w:r w:rsidRPr="0035363A">
        <w:rPr>
          <w:rFonts w:ascii="Arial" w:hAnsi="Arial" w:cs="Arial"/>
          <w:color w:val="231F20"/>
          <w:sz w:val="14"/>
          <w:szCs w:val="14"/>
        </w:rPr>
        <w:t>an</w:t>
      </w:r>
      <w:r w:rsidRPr="0035363A">
        <w:rPr>
          <w:rFonts w:ascii="Arial" w:hAnsi="Arial" w:cs="Arial"/>
          <w:color w:val="231F20"/>
          <w:spacing w:val="-1"/>
          <w:sz w:val="14"/>
          <w:szCs w:val="14"/>
        </w:rPr>
        <w:t xml:space="preserve"> </w:t>
      </w:r>
      <w:r w:rsidRPr="0035363A">
        <w:rPr>
          <w:rFonts w:ascii="Arial" w:hAnsi="Arial" w:cs="Arial"/>
          <w:color w:val="231F20"/>
          <w:sz w:val="14"/>
          <w:szCs w:val="14"/>
        </w:rPr>
        <w:t>agency</w:t>
      </w:r>
      <w:r w:rsidRPr="0035363A">
        <w:rPr>
          <w:rFonts w:ascii="Arial" w:hAnsi="Arial" w:cs="Arial"/>
          <w:color w:val="231F20"/>
          <w:spacing w:val="-2"/>
          <w:sz w:val="14"/>
          <w:szCs w:val="14"/>
        </w:rPr>
        <w:t xml:space="preserve"> </w:t>
      </w:r>
      <w:r w:rsidRPr="0035363A">
        <w:rPr>
          <w:rFonts w:ascii="Arial" w:hAnsi="Arial" w:cs="Arial"/>
          <w:color w:val="231F20"/>
          <w:sz w:val="14"/>
          <w:szCs w:val="14"/>
        </w:rPr>
        <w:t>of the</w:t>
      </w:r>
      <w:r w:rsidRPr="0035363A">
        <w:rPr>
          <w:rFonts w:ascii="Arial" w:hAnsi="Arial" w:cs="Arial"/>
          <w:color w:val="231F20"/>
          <w:spacing w:val="-1"/>
          <w:sz w:val="14"/>
          <w:szCs w:val="14"/>
        </w:rPr>
        <w:t xml:space="preserve"> </w:t>
      </w:r>
      <w:r w:rsidRPr="0035363A">
        <w:rPr>
          <w:rFonts w:ascii="Arial" w:hAnsi="Arial" w:cs="Arial"/>
          <w:color w:val="231F20"/>
          <w:sz w:val="14"/>
          <w:szCs w:val="14"/>
        </w:rPr>
        <w:t>United</w:t>
      </w:r>
      <w:r w:rsidRPr="0035363A">
        <w:rPr>
          <w:rFonts w:ascii="Arial" w:hAnsi="Arial" w:cs="Arial"/>
          <w:color w:val="231F20"/>
          <w:spacing w:val="-1"/>
          <w:sz w:val="14"/>
          <w:szCs w:val="14"/>
        </w:rPr>
        <w:t xml:space="preserve"> </w:t>
      </w:r>
      <w:r w:rsidRPr="0035363A">
        <w:rPr>
          <w:rFonts w:ascii="Arial" w:hAnsi="Arial" w:cs="Arial"/>
          <w:color w:val="231F20"/>
          <w:sz w:val="14"/>
          <w:szCs w:val="14"/>
        </w:rPr>
        <w:t>States</w:t>
      </w:r>
      <w:r w:rsidRPr="0035363A">
        <w:rPr>
          <w:rFonts w:ascii="Arial" w:hAnsi="Arial" w:cs="Arial"/>
          <w:color w:val="231F20"/>
          <w:spacing w:val="-1"/>
          <w:sz w:val="14"/>
          <w:szCs w:val="14"/>
        </w:rPr>
        <w:t xml:space="preserve"> </w:t>
      </w:r>
      <w:r w:rsidRPr="0035363A">
        <w:rPr>
          <w:rFonts w:ascii="Arial" w:hAnsi="Arial" w:cs="Arial"/>
          <w:color w:val="231F20"/>
          <w:sz w:val="14"/>
          <w:szCs w:val="14"/>
        </w:rPr>
        <w:t>Government.</w:t>
      </w:r>
      <w:r w:rsidRPr="0035363A">
        <w:rPr>
          <w:rFonts w:ascii="Arial" w:hAnsi="Arial" w:cs="Arial"/>
          <w:color w:val="231F20"/>
          <w:spacing w:val="-1"/>
          <w:sz w:val="14"/>
          <w:szCs w:val="14"/>
        </w:rPr>
        <w:t xml:space="preserve"> </w:t>
      </w:r>
      <w:r w:rsidRPr="0035363A">
        <w:rPr>
          <w:rFonts w:ascii="Arial" w:hAnsi="Arial" w:cs="Arial"/>
          <w:color w:val="231F20"/>
          <w:sz w:val="14"/>
          <w:szCs w:val="14"/>
        </w:rPr>
        <w:t>Neither</w:t>
      </w:r>
      <w:r w:rsidRPr="0035363A">
        <w:rPr>
          <w:rFonts w:ascii="Arial" w:hAnsi="Arial" w:cs="Arial"/>
          <w:color w:val="231F20"/>
          <w:spacing w:val="-2"/>
          <w:sz w:val="14"/>
          <w:szCs w:val="14"/>
        </w:rPr>
        <w:t xml:space="preserve"> </w:t>
      </w:r>
      <w:r w:rsidRPr="0035363A">
        <w:rPr>
          <w:rFonts w:ascii="Arial" w:hAnsi="Arial" w:cs="Arial"/>
          <w:color w:val="231F20"/>
          <w:sz w:val="14"/>
          <w:szCs w:val="14"/>
        </w:rPr>
        <w:t>the United</w:t>
      </w:r>
      <w:r w:rsidRPr="0035363A">
        <w:rPr>
          <w:rFonts w:ascii="Arial" w:hAnsi="Arial" w:cs="Arial"/>
          <w:color w:val="231F20"/>
          <w:spacing w:val="-2"/>
          <w:sz w:val="14"/>
          <w:szCs w:val="14"/>
        </w:rPr>
        <w:t xml:space="preserve"> </w:t>
      </w:r>
      <w:r w:rsidRPr="0035363A">
        <w:rPr>
          <w:rFonts w:ascii="Arial" w:hAnsi="Arial" w:cs="Arial"/>
          <w:color w:val="231F20"/>
          <w:sz w:val="14"/>
          <w:szCs w:val="14"/>
        </w:rPr>
        <w:t>States</w:t>
      </w:r>
      <w:r w:rsidRPr="0035363A">
        <w:rPr>
          <w:rFonts w:ascii="Arial" w:hAnsi="Arial" w:cs="Arial"/>
          <w:color w:val="231F20"/>
          <w:w w:val="99"/>
          <w:sz w:val="14"/>
          <w:szCs w:val="14"/>
        </w:rPr>
        <w:t xml:space="preserve"> </w:t>
      </w:r>
      <w:r w:rsidRPr="0035363A">
        <w:rPr>
          <w:rFonts w:ascii="Arial" w:hAnsi="Arial" w:cs="Arial"/>
          <w:color w:val="231F20"/>
          <w:sz w:val="14"/>
          <w:szCs w:val="14"/>
        </w:rPr>
        <w:t>Government nor any agency thereof, nor UChicago</w:t>
      </w:r>
      <w:r w:rsidRPr="0035363A">
        <w:rPr>
          <w:rFonts w:ascii="Arial" w:hAnsi="Arial" w:cs="Arial"/>
          <w:color w:val="231F20"/>
          <w:spacing w:val="-8"/>
          <w:sz w:val="14"/>
          <w:szCs w:val="14"/>
        </w:rPr>
        <w:t xml:space="preserve"> </w:t>
      </w:r>
      <w:r w:rsidRPr="0035363A">
        <w:rPr>
          <w:rFonts w:ascii="Arial" w:hAnsi="Arial" w:cs="Arial"/>
          <w:color w:val="231F20"/>
          <w:sz w:val="14"/>
          <w:szCs w:val="14"/>
        </w:rPr>
        <w:t>Argonne, LLC, nor any of their employees or officers, makes any warrant</w:t>
      </w:r>
      <w:r w:rsidRPr="0035363A">
        <w:rPr>
          <w:rFonts w:ascii="Arial" w:hAnsi="Arial" w:cs="Arial"/>
          <w:color w:val="231F20"/>
          <w:spacing w:val="-11"/>
          <w:sz w:val="14"/>
          <w:szCs w:val="14"/>
        </w:rPr>
        <w:t>y</w:t>
      </w:r>
      <w:r w:rsidRPr="0035363A">
        <w:rPr>
          <w:rFonts w:ascii="Arial" w:hAnsi="Arial" w:cs="Arial"/>
          <w:color w:val="231F20"/>
          <w:sz w:val="14"/>
          <w:szCs w:val="14"/>
        </w:rPr>
        <w:t>, express or</w:t>
      </w:r>
      <w:r w:rsidRPr="0035363A">
        <w:rPr>
          <w:rFonts w:ascii="Arial" w:hAnsi="Arial" w:cs="Arial"/>
          <w:color w:val="231F20"/>
          <w:spacing w:val="-2"/>
          <w:sz w:val="14"/>
          <w:szCs w:val="14"/>
        </w:rPr>
        <w:t xml:space="preserve"> </w:t>
      </w:r>
      <w:r w:rsidRPr="0035363A">
        <w:rPr>
          <w:rFonts w:ascii="Arial" w:hAnsi="Arial" w:cs="Arial"/>
          <w:color w:val="231F20"/>
          <w:sz w:val="14"/>
          <w:szCs w:val="14"/>
        </w:rPr>
        <w:t>implied,</w:t>
      </w:r>
      <w:r w:rsidRPr="0035363A">
        <w:rPr>
          <w:rFonts w:ascii="Arial" w:hAnsi="Arial" w:cs="Arial"/>
          <w:color w:val="231F20"/>
          <w:spacing w:val="-1"/>
          <w:sz w:val="14"/>
          <w:szCs w:val="14"/>
        </w:rPr>
        <w:t xml:space="preserve"> </w:t>
      </w:r>
      <w:r w:rsidRPr="0035363A">
        <w:rPr>
          <w:rFonts w:ascii="Arial" w:hAnsi="Arial" w:cs="Arial"/>
          <w:color w:val="231F20"/>
          <w:sz w:val="14"/>
          <w:szCs w:val="14"/>
        </w:rPr>
        <w:t>or</w:t>
      </w:r>
      <w:r w:rsidRPr="0035363A">
        <w:rPr>
          <w:rFonts w:ascii="Arial" w:hAnsi="Arial" w:cs="Arial"/>
          <w:color w:val="231F20"/>
          <w:spacing w:val="-1"/>
          <w:sz w:val="14"/>
          <w:szCs w:val="14"/>
        </w:rPr>
        <w:t xml:space="preserve"> </w:t>
      </w:r>
      <w:r w:rsidRPr="0035363A">
        <w:rPr>
          <w:rFonts w:ascii="Arial" w:hAnsi="Arial" w:cs="Arial"/>
          <w:color w:val="231F20"/>
          <w:sz w:val="14"/>
          <w:szCs w:val="14"/>
        </w:rPr>
        <w:t>assumes</w:t>
      </w:r>
      <w:r w:rsidRPr="0035363A">
        <w:rPr>
          <w:rFonts w:ascii="Arial" w:hAnsi="Arial" w:cs="Arial"/>
          <w:color w:val="231F20"/>
          <w:spacing w:val="-1"/>
          <w:sz w:val="14"/>
          <w:szCs w:val="14"/>
        </w:rPr>
        <w:t xml:space="preserve"> </w:t>
      </w:r>
      <w:r w:rsidRPr="0035363A">
        <w:rPr>
          <w:rFonts w:ascii="Arial" w:hAnsi="Arial" w:cs="Arial"/>
          <w:color w:val="231F20"/>
          <w:sz w:val="14"/>
          <w:szCs w:val="14"/>
        </w:rPr>
        <w:t>any</w:t>
      </w:r>
      <w:r w:rsidRPr="0035363A">
        <w:rPr>
          <w:rFonts w:ascii="Arial" w:hAnsi="Arial" w:cs="Arial"/>
          <w:color w:val="231F20"/>
          <w:spacing w:val="-1"/>
          <w:sz w:val="14"/>
          <w:szCs w:val="14"/>
        </w:rPr>
        <w:t xml:space="preserve"> </w:t>
      </w:r>
      <w:r w:rsidRPr="0035363A">
        <w:rPr>
          <w:rFonts w:ascii="Arial" w:hAnsi="Arial" w:cs="Arial"/>
          <w:color w:val="231F20"/>
          <w:sz w:val="14"/>
          <w:szCs w:val="14"/>
        </w:rPr>
        <w:t>legal</w:t>
      </w:r>
      <w:r w:rsidRPr="0035363A">
        <w:rPr>
          <w:rFonts w:ascii="Arial" w:hAnsi="Arial" w:cs="Arial"/>
          <w:color w:val="231F20"/>
          <w:spacing w:val="-2"/>
          <w:sz w:val="14"/>
          <w:szCs w:val="14"/>
        </w:rPr>
        <w:t xml:space="preserve"> </w:t>
      </w:r>
      <w:r w:rsidRPr="0035363A">
        <w:rPr>
          <w:rFonts w:ascii="Arial" w:hAnsi="Arial" w:cs="Arial"/>
          <w:color w:val="231F20"/>
          <w:sz w:val="14"/>
          <w:szCs w:val="14"/>
        </w:rPr>
        <w:t>liability</w:t>
      </w:r>
      <w:r w:rsidRPr="0035363A">
        <w:rPr>
          <w:rFonts w:ascii="Arial" w:hAnsi="Arial" w:cs="Arial"/>
          <w:color w:val="231F20"/>
          <w:spacing w:val="-1"/>
          <w:sz w:val="14"/>
          <w:szCs w:val="14"/>
        </w:rPr>
        <w:t xml:space="preserve"> </w:t>
      </w:r>
      <w:r w:rsidRPr="0035363A">
        <w:rPr>
          <w:rFonts w:ascii="Arial" w:hAnsi="Arial" w:cs="Arial"/>
          <w:color w:val="231F20"/>
          <w:sz w:val="14"/>
          <w:szCs w:val="14"/>
        </w:rPr>
        <w:t>or</w:t>
      </w:r>
      <w:r w:rsidRPr="0035363A">
        <w:rPr>
          <w:rFonts w:ascii="Arial" w:hAnsi="Arial" w:cs="Arial"/>
          <w:color w:val="231F20"/>
          <w:spacing w:val="-1"/>
          <w:sz w:val="14"/>
          <w:szCs w:val="14"/>
        </w:rPr>
        <w:t xml:space="preserve"> </w:t>
      </w:r>
      <w:r w:rsidRPr="0035363A">
        <w:rPr>
          <w:rFonts w:ascii="Arial" w:hAnsi="Arial" w:cs="Arial"/>
          <w:color w:val="231F20"/>
          <w:sz w:val="14"/>
          <w:szCs w:val="14"/>
        </w:rPr>
        <w:t>responsibility</w:t>
      </w:r>
      <w:r w:rsidRPr="0035363A">
        <w:rPr>
          <w:rFonts w:ascii="Arial" w:hAnsi="Arial" w:cs="Arial"/>
          <w:color w:val="231F20"/>
          <w:spacing w:val="-1"/>
          <w:sz w:val="14"/>
          <w:szCs w:val="14"/>
        </w:rPr>
        <w:t xml:space="preserve"> </w:t>
      </w:r>
      <w:r w:rsidRPr="0035363A">
        <w:rPr>
          <w:rFonts w:ascii="Arial" w:hAnsi="Arial" w:cs="Arial"/>
          <w:color w:val="231F20"/>
          <w:sz w:val="14"/>
          <w:szCs w:val="14"/>
        </w:rPr>
        <w:t>for the accurac</w:t>
      </w:r>
      <w:r w:rsidRPr="0035363A">
        <w:rPr>
          <w:rFonts w:ascii="Arial" w:hAnsi="Arial" w:cs="Arial"/>
          <w:color w:val="231F20"/>
          <w:spacing w:val="-10"/>
          <w:sz w:val="14"/>
          <w:szCs w:val="14"/>
        </w:rPr>
        <w:t>y</w:t>
      </w:r>
      <w:r w:rsidRPr="0035363A">
        <w:rPr>
          <w:rFonts w:ascii="Arial" w:hAnsi="Arial" w:cs="Arial"/>
          <w:color w:val="231F20"/>
          <w:sz w:val="14"/>
          <w:szCs w:val="14"/>
        </w:rPr>
        <w:t>,</w:t>
      </w:r>
      <w:r w:rsidRPr="0035363A">
        <w:rPr>
          <w:rFonts w:ascii="Arial" w:hAnsi="Arial" w:cs="Arial"/>
          <w:color w:val="231F20"/>
          <w:spacing w:val="-1"/>
          <w:sz w:val="14"/>
          <w:szCs w:val="14"/>
        </w:rPr>
        <w:t xml:space="preserve"> </w:t>
      </w:r>
      <w:r w:rsidRPr="0035363A">
        <w:rPr>
          <w:rFonts w:ascii="Arial" w:hAnsi="Arial" w:cs="Arial"/>
          <w:color w:val="231F20"/>
          <w:sz w:val="14"/>
          <w:szCs w:val="14"/>
        </w:rPr>
        <w:t>completeness,</w:t>
      </w:r>
      <w:r w:rsidRPr="0035363A">
        <w:rPr>
          <w:rFonts w:ascii="Arial" w:hAnsi="Arial" w:cs="Arial"/>
          <w:color w:val="231F20"/>
          <w:spacing w:val="-1"/>
          <w:sz w:val="14"/>
          <w:szCs w:val="14"/>
        </w:rPr>
        <w:t xml:space="preserve"> </w:t>
      </w:r>
      <w:r w:rsidRPr="0035363A">
        <w:rPr>
          <w:rFonts w:ascii="Arial" w:hAnsi="Arial" w:cs="Arial"/>
          <w:color w:val="231F20"/>
          <w:sz w:val="14"/>
          <w:szCs w:val="14"/>
        </w:rPr>
        <w:t>or</w:t>
      </w:r>
      <w:r w:rsidRPr="0035363A">
        <w:rPr>
          <w:rFonts w:ascii="Arial" w:hAnsi="Arial" w:cs="Arial"/>
          <w:color w:val="231F20"/>
          <w:spacing w:val="-1"/>
          <w:sz w:val="14"/>
          <w:szCs w:val="14"/>
        </w:rPr>
        <w:t xml:space="preserve"> </w:t>
      </w:r>
      <w:r w:rsidRPr="0035363A">
        <w:rPr>
          <w:rFonts w:ascii="Arial" w:hAnsi="Arial" w:cs="Arial"/>
          <w:color w:val="231F20"/>
          <w:sz w:val="14"/>
          <w:szCs w:val="14"/>
        </w:rPr>
        <w:t>usefulness</w:t>
      </w:r>
      <w:r w:rsidRPr="0035363A">
        <w:rPr>
          <w:rFonts w:ascii="Arial" w:hAnsi="Arial" w:cs="Arial"/>
          <w:color w:val="231F20"/>
          <w:spacing w:val="-1"/>
          <w:sz w:val="14"/>
          <w:szCs w:val="14"/>
        </w:rPr>
        <w:t xml:space="preserve"> </w:t>
      </w:r>
      <w:r w:rsidRPr="0035363A">
        <w:rPr>
          <w:rFonts w:ascii="Arial" w:hAnsi="Arial" w:cs="Arial"/>
          <w:color w:val="231F20"/>
          <w:sz w:val="14"/>
          <w:szCs w:val="14"/>
        </w:rPr>
        <w:t>of any</w:t>
      </w:r>
      <w:r w:rsidRPr="0035363A">
        <w:rPr>
          <w:rFonts w:ascii="Arial" w:hAnsi="Arial" w:cs="Arial"/>
          <w:color w:val="231F20"/>
          <w:spacing w:val="-1"/>
          <w:sz w:val="14"/>
          <w:szCs w:val="14"/>
        </w:rPr>
        <w:t xml:space="preserve"> </w:t>
      </w:r>
      <w:r w:rsidRPr="0035363A">
        <w:rPr>
          <w:rFonts w:ascii="Arial" w:hAnsi="Arial" w:cs="Arial"/>
          <w:color w:val="231F20"/>
          <w:sz w:val="14"/>
          <w:szCs w:val="14"/>
        </w:rPr>
        <w:t>information,</w:t>
      </w:r>
      <w:r w:rsidRPr="0035363A">
        <w:rPr>
          <w:rFonts w:ascii="Arial" w:hAnsi="Arial" w:cs="Arial"/>
          <w:color w:val="231F20"/>
          <w:spacing w:val="-2"/>
          <w:sz w:val="14"/>
          <w:szCs w:val="14"/>
        </w:rPr>
        <w:t xml:space="preserve"> </w:t>
      </w:r>
      <w:r w:rsidRPr="0035363A">
        <w:rPr>
          <w:rFonts w:ascii="Arial" w:hAnsi="Arial" w:cs="Arial"/>
          <w:color w:val="231F20"/>
          <w:sz w:val="14"/>
          <w:szCs w:val="14"/>
        </w:rPr>
        <w:t>apparatus, product, or process disclosed, or represents that its use would not infringe privately owned rights. Reference herein to any specific commercial</w:t>
      </w:r>
      <w:r w:rsidRPr="0035363A">
        <w:rPr>
          <w:rFonts w:ascii="Arial" w:hAnsi="Arial" w:cs="Arial"/>
          <w:color w:val="231F20"/>
          <w:spacing w:val="-2"/>
          <w:sz w:val="14"/>
          <w:szCs w:val="14"/>
        </w:rPr>
        <w:t xml:space="preserve"> </w:t>
      </w:r>
      <w:r w:rsidRPr="0035363A">
        <w:rPr>
          <w:rFonts w:ascii="Arial" w:hAnsi="Arial" w:cs="Arial"/>
          <w:color w:val="231F20"/>
          <w:sz w:val="14"/>
          <w:szCs w:val="14"/>
        </w:rPr>
        <w:t>product,</w:t>
      </w:r>
      <w:r w:rsidRPr="0035363A">
        <w:rPr>
          <w:rFonts w:ascii="Arial" w:hAnsi="Arial" w:cs="Arial"/>
          <w:color w:val="231F20"/>
          <w:spacing w:val="-1"/>
          <w:sz w:val="14"/>
          <w:szCs w:val="14"/>
        </w:rPr>
        <w:t xml:space="preserve"> </w:t>
      </w:r>
      <w:r w:rsidRPr="0035363A">
        <w:rPr>
          <w:rFonts w:ascii="Arial" w:hAnsi="Arial" w:cs="Arial"/>
          <w:color w:val="231F20"/>
          <w:sz w:val="14"/>
          <w:szCs w:val="14"/>
        </w:rPr>
        <w:t>process,</w:t>
      </w:r>
      <w:r w:rsidRPr="0035363A">
        <w:rPr>
          <w:rFonts w:ascii="Arial" w:hAnsi="Arial" w:cs="Arial"/>
          <w:color w:val="231F20"/>
          <w:spacing w:val="-1"/>
          <w:sz w:val="14"/>
          <w:szCs w:val="14"/>
        </w:rPr>
        <w:t xml:space="preserve"> </w:t>
      </w:r>
      <w:r w:rsidRPr="0035363A">
        <w:rPr>
          <w:rFonts w:ascii="Arial" w:hAnsi="Arial" w:cs="Arial"/>
          <w:color w:val="231F20"/>
          <w:sz w:val="14"/>
          <w:szCs w:val="14"/>
        </w:rPr>
        <w:t>or</w:t>
      </w:r>
      <w:r w:rsidRPr="0035363A">
        <w:rPr>
          <w:rFonts w:ascii="Arial" w:hAnsi="Arial" w:cs="Arial"/>
          <w:color w:val="231F20"/>
          <w:spacing w:val="-1"/>
          <w:sz w:val="14"/>
          <w:szCs w:val="14"/>
        </w:rPr>
        <w:t xml:space="preserve"> </w:t>
      </w:r>
      <w:r w:rsidRPr="0035363A">
        <w:rPr>
          <w:rFonts w:ascii="Arial" w:hAnsi="Arial" w:cs="Arial"/>
          <w:color w:val="231F20"/>
          <w:sz w:val="14"/>
          <w:szCs w:val="14"/>
        </w:rPr>
        <w:t>service</w:t>
      </w:r>
      <w:r w:rsidRPr="0035363A">
        <w:rPr>
          <w:rFonts w:ascii="Arial" w:hAnsi="Arial" w:cs="Arial"/>
          <w:color w:val="231F20"/>
          <w:spacing w:val="-1"/>
          <w:sz w:val="14"/>
          <w:szCs w:val="14"/>
        </w:rPr>
        <w:t xml:space="preserve"> </w:t>
      </w:r>
      <w:r w:rsidRPr="0035363A">
        <w:rPr>
          <w:rFonts w:ascii="Arial" w:hAnsi="Arial" w:cs="Arial"/>
          <w:color w:val="231F20"/>
          <w:sz w:val="14"/>
          <w:szCs w:val="14"/>
        </w:rPr>
        <w:t>by</w:t>
      </w:r>
      <w:r w:rsidRPr="0035363A">
        <w:rPr>
          <w:rFonts w:ascii="Arial" w:hAnsi="Arial" w:cs="Arial"/>
          <w:color w:val="231F20"/>
          <w:spacing w:val="-1"/>
          <w:sz w:val="14"/>
          <w:szCs w:val="14"/>
        </w:rPr>
        <w:t xml:space="preserve"> </w:t>
      </w:r>
      <w:r w:rsidRPr="0035363A">
        <w:rPr>
          <w:rFonts w:ascii="Arial" w:hAnsi="Arial" w:cs="Arial"/>
          <w:color w:val="231F20"/>
          <w:sz w:val="14"/>
          <w:szCs w:val="14"/>
        </w:rPr>
        <w:t>trade</w:t>
      </w:r>
      <w:r w:rsidRPr="0035363A">
        <w:rPr>
          <w:rFonts w:ascii="Arial" w:hAnsi="Arial" w:cs="Arial"/>
          <w:color w:val="231F20"/>
          <w:spacing w:val="-1"/>
          <w:sz w:val="14"/>
          <w:szCs w:val="14"/>
        </w:rPr>
        <w:t xml:space="preserve"> </w:t>
      </w:r>
      <w:r w:rsidRPr="0035363A">
        <w:rPr>
          <w:rFonts w:ascii="Arial" w:hAnsi="Arial" w:cs="Arial"/>
          <w:color w:val="231F20"/>
          <w:sz w:val="14"/>
          <w:szCs w:val="14"/>
        </w:rPr>
        <w:t>name,</w:t>
      </w:r>
      <w:r w:rsidRPr="0035363A">
        <w:rPr>
          <w:rFonts w:ascii="Arial" w:hAnsi="Arial" w:cs="Arial"/>
          <w:color w:val="231F20"/>
          <w:spacing w:val="-1"/>
          <w:sz w:val="14"/>
          <w:szCs w:val="14"/>
        </w:rPr>
        <w:t xml:space="preserve"> </w:t>
      </w:r>
      <w:r w:rsidRPr="0035363A">
        <w:rPr>
          <w:rFonts w:ascii="Arial" w:hAnsi="Arial" w:cs="Arial"/>
          <w:color w:val="231F20"/>
          <w:sz w:val="14"/>
          <w:szCs w:val="14"/>
        </w:rPr>
        <w:t>trademark,</w:t>
      </w:r>
      <w:r w:rsidRPr="0035363A">
        <w:rPr>
          <w:rFonts w:ascii="Arial" w:hAnsi="Arial" w:cs="Arial"/>
          <w:color w:val="231F20"/>
          <w:spacing w:val="-1"/>
          <w:sz w:val="14"/>
          <w:szCs w:val="14"/>
        </w:rPr>
        <w:t xml:space="preserve"> </w:t>
      </w:r>
      <w:r w:rsidRPr="0035363A">
        <w:rPr>
          <w:rFonts w:ascii="Arial" w:hAnsi="Arial" w:cs="Arial"/>
          <w:color w:val="231F20"/>
          <w:sz w:val="14"/>
          <w:szCs w:val="14"/>
        </w:rPr>
        <w:t>manufacture</w:t>
      </w:r>
      <w:r w:rsidRPr="0035363A">
        <w:rPr>
          <w:rFonts w:ascii="Arial" w:hAnsi="Arial" w:cs="Arial"/>
          <w:color w:val="231F20"/>
          <w:spacing w:val="-8"/>
          <w:sz w:val="14"/>
          <w:szCs w:val="14"/>
        </w:rPr>
        <w:t>r</w:t>
      </w:r>
      <w:r w:rsidRPr="0035363A">
        <w:rPr>
          <w:rFonts w:ascii="Arial" w:hAnsi="Arial" w:cs="Arial"/>
          <w:color w:val="231F20"/>
          <w:sz w:val="14"/>
          <w:szCs w:val="14"/>
        </w:rPr>
        <w:t>, or</w:t>
      </w:r>
      <w:r w:rsidRPr="0035363A">
        <w:rPr>
          <w:rFonts w:ascii="Arial" w:hAnsi="Arial" w:cs="Arial"/>
          <w:color w:val="231F20"/>
          <w:spacing w:val="-1"/>
          <w:sz w:val="14"/>
          <w:szCs w:val="14"/>
        </w:rPr>
        <w:t xml:space="preserve"> </w:t>
      </w:r>
      <w:r w:rsidRPr="0035363A">
        <w:rPr>
          <w:rFonts w:ascii="Arial" w:hAnsi="Arial" w:cs="Arial"/>
          <w:color w:val="231F20"/>
          <w:sz w:val="14"/>
          <w:szCs w:val="14"/>
        </w:rPr>
        <w:t>otherwise,</w:t>
      </w:r>
      <w:r w:rsidRPr="0035363A">
        <w:rPr>
          <w:rFonts w:ascii="Arial" w:hAnsi="Arial" w:cs="Arial"/>
          <w:color w:val="231F20"/>
          <w:spacing w:val="-1"/>
          <w:sz w:val="14"/>
          <w:szCs w:val="14"/>
        </w:rPr>
        <w:t xml:space="preserve"> </w:t>
      </w:r>
      <w:r w:rsidRPr="0035363A">
        <w:rPr>
          <w:rFonts w:ascii="Arial" w:hAnsi="Arial" w:cs="Arial"/>
          <w:color w:val="231F20"/>
          <w:sz w:val="14"/>
          <w:szCs w:val="14"/>
        </w:rPr>
        <w:t>does</w:t>
      </w:r>
      <w:r w:rsidRPr="0035363A">
        <w:rPr>
          <w:rFonts w:ascii="Arial" w:hAnsi="Arial" w:cs="Arial"/>
          <w:color w:val="231F20"/>
          <w:spacing w:val="-1"/>
          <w:sz w:val="14"/>
          <w:szCs w:val="14"/>
        </w:rPr>
        <w:t xml:space="preserve"> </w:t>
      </w:r>
      <w:r w:rsidRPr="0035363A">
        <w:rPr>
          <w:rFonts w:ascii="Arial" w:hAnsi="Arial" w:cs="Arial"/>
          <w:color w:val="231F20"/>
          <w:sz w:val="14"/>
          <w:szCs w:val="14"/>
        </w:rPr>
        <w:t>not necessarily</w:t>
      </w:r>
      <w:r w:rsidRPr="0035363A">
        <w:rPr>
          <w:rFonts w:ascii="Arial" w:hAnsi="Arial" w:cs="Arial"/>
          <w:color w:val="231F20"/>
          <w:spacing w:val="-1"/>
          <w:sz w:val="14"/>
          <w:szCs w:val="14"/>
        </w:rPr>
        <w:t xml:space="preserve"> </w:t>
      </w:r>
      <w:r w:rsidRPr="0035363A">
        <w:rPr>
          <w:rFonts w:ascii="Arial" w:hAnsi="Arial" w:cs="Arial"/>
          <w:color w:val="231F20"/>
          <w:sz w:val="14"/>
          <w:szCs w:val="14"/>
        </w:rPr>
        <w:t>constitute</w:t>
      </w:r>
      <w:r w:rsidRPr="0035363A">
        <w:rPr>
          <w:rFonts w:ascii="Arial" w:hAnsi="Arial" w:cs="Arial"/>
          <w:color w:val="231F20"/>
          <w:spacing w:val="-1"/>
          <w:sz w:val="14"/>
          <w:szCs w:val="14"/>
        </w:rPr>
        <w:t xml:space="preserve"> </w:t>
      </w:r>
      <w:r w:rsidRPr="0035363A">
        <w:rPr>
          <w:rFonts w:ascii="Arial" w:hAnsi="Arial" w:cs="Arial"/>
          <w:color w:val="231F20"/>
          <w:sz w:val="14"/>
          <w:szCs w:val="14"/>
        </w:rPr>
        <w:t>or</w:t>
      </w:r>
      <w:r w:rsidRPr="0035363A">
        <w:rPr>
          <w:rFonts w:ascii="Arial" w:hAnsi="Arial" w:cs="Arial"/>
          <w:color w:val="231F20"/>
          <w:spacing w:val="-1"/>
          <w:sz w:val="14"/>
          <w:szCs w:val="14"/>
        </w:rPr>
        <w:t xml:space="preserve"> </w:t>
      </w:r>
      <w:r w:rsidRPr="0035363A">
        <w:rPr>
          <w:rFonts w:ascii="Arial" w:hAnsi="Arial" w:cs="Arial"/>
          <w:color w:val="231F20"/>
          <w:sz w:val="14"/>
          <w:szCs w:val="14"/>
        </w:rPr>
        <w:t>imply its</w:t>
      </w:r>
      <w:r w:rsidRPr="0035363A">
        <w:rPr>
          <w:rFonts w:ascii="Arial" w:hAnsi="Arial" w:cs="Arial"/>
          <w:color w:val="231F20"/>
          <w:spacing w:val="-1"/>
          <w:sz w:val="14"/>
          <w:szCs w:val="14"/>
        </w:rPr>
        <w:t xml:space="preserve"> </w:t>
      </w:r>
      <w:r w:rsidRPr="0035363A">
        <w:rPr>
          <w:rFonts w:ascii="Arial" w:hAnsi="Arial" w:cs="Arial"/>
          <w:color w:val="231F20"/>
          <w:sz w:val="14"/>
          <w:szCs w:val="14"/>
        </w:rPr>
        <w:t>endorsement,</w:t>
      </w:r>
      <w:r w:rsidRPr="0035363A">
        <w:rPr>
          <w:rFonts w:ascii="Arial" w:hAnsi="Arial" w:cs="Arial"/>
          <w:color w:val="231F20"/>
          <w:spacing w:val="-1"/>
          <w:sz w:val="14"/>
          <w:szCs w:val="14"/>
        </w:rPr>
        <w:t xml:space="preserve"> </w:t>
      </w:r>
      <w:r w:rsidRPr="0035363A">
        <w:rPr>
          <w:rFonts w:ascii="Arial" w:hAnsi="Arial" w:cs="Arial"/>
          <w:color w:val="231F20"/>
          <w:sz w:val="14"/>
          <w:szCs w:val="14"/>
        </w:rPr>
        <w:t>recommendation,</w:t>
      </w:r>
      <w:r w:rsidRPr="0035363A">
        <w:rPr>
          <w:rFonts w:ascii="Arial" w:hAnsi="Arial" w:cs="Arial"/>
          <w:color w:val="231F20"/>
          <w:spacing w:val="-1"/>
          <w:sz w:val="14"/>
          <w:szCs w:val="14"/>
        </w:rPr>
        <w:t xml:space="preserve"> </w:t>
      </w:r>
      <w:r w:rsidRPr="0035363A">
        <w:rPr>
          <w:rFonts w:ascii="Arial" w:hAnsi="Arial" w:cs="Arial"/>
          <w:color w:val="231F20"/>
          <w:sz w:val="14"/>
          <w:szCs w:val="14"/>
        </w:rPr>
        <w:t>or</w:t>
      </w:r>
      <w:r w:rsidRPr="0035363A">
        <w:rPr>
          <w:rFonts w:ascii="Arial" w:hAnsi="Arial" w:cs="Arial"/>
          <w:color w:val="231F20"/>
          <w:spacing w:val="-2"/>
          <w:sz w:val="14"/>
          <w:szCs w:val="14"/>
        </w:rPr>
        <w:t xml:space="preserve"> </w:t>
      </w:r>
      <w:r w:rsidRPr="0035363A">
        <w:rPr>
          <w:rFonts w:ascii="Arial" w:hAnsi="Arial" w:cs="Arial"/>
          <w:color w:val="231F20"/>
          <w:sz w:val="14"/>
          <w:szCs w:val="14"/>
        </w:rPr>
        <w:t>favoring</w:t>
      </w:r>
      <w:r w:rsidRPr="0035363A">
        <w:rPr>
          <w:rFonts w:ascii="Arial" w:hAnsi="Arial" w:cs="Arial"/>
          <w:color w:val="231F20"/>
          <w:spacing w:val="-1"/>
          <w:sz w:val="14"/>
          <w:szCs w:val="14"/>
        </w:rPr>
        <w:t xml:space="preserve"> </w:t>
      </w:r>
      <w:r w:rsidRPr="0035363A">
        <w:rPr>
          <w:rFonts w:ascii="Arial" w:hAnsi="Arial" w:cs="Arial"/>
          <w:color w:val="231F20"/>
          <w:sz w:val="14"/>
          <w:szCs w:val="14"/>
        </w:rPr>
        <w:t>by</w:t>
      </w:r>
      <w:r w:rsidRPr="0035363A">
        <w:rPr>
          <w:rFonts w:ascii="Arial" w:hAnsi="Arial" w:cs="Arial"/>
          <w:color w:val="231F20"/>
          <w:spacing w:val="-1"/>
          <w:sz w:val="14"/>
          <w:szCs w:val="14"/>
        </w:rPr>
        <w:t xml:space="preserve"> </w:t>
      </w:r>
      <w:r w:rsidRPr="0035363A">
        <w:rPr>
          <w:rFonts w:ascii="Arial" w:hAnsi="Arial" w:cs="Arial"/>
          <w:color w:val="231F20"/>
          <w:sz w:val="14"/>
          <w:szCs w:val="14"/>
        </w:rPr>
        <w:t>the United</w:t>
      </w:r>
      <w:r w:rsidRPr="0035363A">
        <w:rPr>
          <w:rFonts w:ascii="Arial" w:hAnsi="Arial" w:cs="Arial"/>
          <w:color w:val="231F20"/>
          <w:spacing w:val="-2"/>
          <w:sz w:val="14"/>
          <w:szCs w:val="14"/>
        </w:rPr>
        <w:t xml:space="preserve"> </w:t>
      </w:r>
      <w:r w:rsidRPr="0035363A">
        <w:rPr>
          <w:rFonts w:ascii="Arial" w:hAnsi="Arial" w:cs="Arial"/>
          <w:color w:val="231F20"/>
          <w:sz w:val="14"/>
          <w:szCs w:val="14"/>
        </w:rPr>
        <w:t>States Government</w:t>
      </w:r>
      <w:r w:rsidRPr="0035363A">
        <w:rPr>
          <w:rFonts w:ascii="Arial" w:hAnsi="Arial" w:cs="Arial"/>
          <w:color w:val="231F20"/>
          <w:spacing w:val="-1"/>
          <w:sz w:val="14"/>
          <w:szCs w:val="14"/>
        </w:rPr>
        <w:t xml:space="preserve"> </w:t>
      </w:r>
      <w:r w:rsidRPr="0035363A">
        <w:rPr>
          <w:rFonts w:ascii="Arial" w:hAnsi="Arial" w:cs="Arial"/>
          <w:color w:val="231F20"/>
          <w:sz w:val="14"/>
          <w:szCs w:val="14"/>
        </w:rPr>
        <w:t>or</w:t>
      </w:r>
      <w:r w:rsidRPr="0035363A">
        <w:rPr>
          <w:rFonts w:ascii="Arial" w:hAnsi="Arial" w:cs="Arial"/>
          <w:color w:val="231F20"/>
          <w:spacing w:val="-2"/>
          <w:sz w:val="14"/>
          <w:szCs w:val="14"/>
        </w:rPr>
        <w:t xml:space="preserve"> </w:t>
      </w:r>
      <w:r w:rsidRPr="0035363A">
        <w:rPr>
          <w:rFonts w:ascii="Arial" w:hAnsi="Arial" w:cs="Arial"/>
          <w:color w:val="231F20"/>
          <w:sz w:val="14"/>
          <w:szCs w:val="14"/>
        </w:rPr>
        <w:t>any</w:t>
      </w:r>
      <w:r w:rsidRPr="0035363A">
        <w:rPr>
          <w:rFonts w:ascii="Arial" w:hAnsi="Arial" w:cs="Arial"/>
          <w:color w:val="231F20"/>
          <w:spacing w:val="-1"/>
          <w:sz w:val="14"/>
          <w:szCs w:val="14"/>
        </w:rPr>
        <w:t xml:space="preserve"> </w:t>
      </w:r>
      <w:r w:rsidRPr="0035363A">
        <w:rPr>
          <w:rFonts w:ascii="Arial" w:hAnsi="Arial" w:cs="Arial"/>
          <w:color w:val="231F20"/>
          <w:sz w:val="14"/>
          <w:szCs w:val="14"/>
        </w:rPr>
        <w:t>agency</w:t>
      </w:r>
      <w:r w:rsidRPr="0035363A">
        <w:rPr>
          <w:rFonts w:ascii="Arial" w:hAnsi="Arial" w:cs="Arial"/>
          <w:color w:val="231F20"/>
          <w:spacing w:val="-1"/>
          <w:sz w:val="14"/>
          <w:szCs w:val="14"/>
        </w:rPr>
        <w:t xml:space="preserve"> </w:t>
      </w:r>
      <w:r w:rsidRPr="0035363A">
        <w:rPr>
          <w:rFonts w:ascii="Arial" w:hAnsi="Arial" w:cs="Arial"/>
          <w:color w:val="231F20"/>
          <w:sz w:val="14"/>
          <w:szCs w:val="14"/>
        </w:rPr>
        <w:t>thereof.</w:t>
      </w:r>
      <w:r w:rsidRPr="0035363A">
        <w:rPr>
          <w:rFonts w:ascii="Arial" w:hAnsi="Arial" w:cs="Arial"/>
          <w:color w:val="231F20"/>
          <w:spacing w:val="-3"/>
          <w:sz w:val="14"/>
          <w:szCs w:val="14"/>
        </w:rPr>
        <w:t xml:space="preserve"> </w:t>
      </w:r>
      <w:r w:rsidRPr="0035363A">
        <w:rPr>
          <w:rFonts w:ascii="Arial" w:hAnsi="Arial" w:cs="Arial"/>
          <w:color w:val="231F20"/>
          <w:sz w:val="14"/>
          <w:szCs w:val="14"/>
        </w:rPr>
        <w:t>The</w:t>
      </w:r>
      <w:r w:rsidRPr="0035363A">
        <w:rPr>
          <w:rFonts w:ascii="Arial" w:hAnsi="Arial" w:cs="Arial"/>
          <w:color w:val="231F20"/>
          <w:spacing w:val="-2"/>
          <w:sz w:val="14"/>
          <w:szCs w:val="14"/>
        </w:rPr>
        <w:t xml:space="preserve"> </w:t>
      </w:r>
      <w:r w:rsidRPr="0035363A">
        <w:rPr>
          <w:rFonts w:ascii="Arial" w:hAnsi="Arial" w:cs="Arial"/>
          <w:color w:val="231F20"/>
          <w:sz w:val="14"/>
          <w:szCs w:val="14"/>
        </w:rPr>
        <w:t>views</w:t>
      </w:r>
      <w:r w:rsidRPr="0035363A">
        <w:rPr>
          <w:rFonts w:ascii="Arial" w:hAnsi="Arial" w:cs="Arial"/>
          <w:color w:val="231F20"/>
          <w:spacing w:val="-1"/>
          <w:sz w:val="14"/>
          <w:szCs w:val="14"/>
        </w:rPr>
        <w:t xml:space="preserve"> </w:t>
      </w:r>
      <w:r w:rsidRPr="0035363A">
        <w:rPr>
          <w:rFonts w:ascii="Arial" w:hAnsi="Arial" w:cs="Arial"/>
          <w:color w:val="231F20"/>
          <w:sz w:val="14"/>
          <w:szCs w:val="14"/>
        </w:rPr>
        <w:t>and</w:t>
      </w:r>
      <w:r w:rsidRPr="0035363A">
        <w:rPr>
          <w:rFonts w:ascii="Arial" w:hAnsi="Arial" w:cs="Arial"/>
          <w:color w:val="231F20"/>
          <w:spacing w:val="-1"/>
          <w:sz w:val="14"/>
          <w:szCs w:val="14"/>
        </w:rPr>
        <w:t xml:space="preserve"> </w:t>
      </w:r>
      <w:r w:rsidRPr="0035363A">
        <w:rPr>
          <w:rFonts w:ascii="Arial" w:hAnsi="Arial" w:cs="Arial"/>
          <w:color w:val="231F20"/>
          <w:sz w:val="14"/>
          <w:szCs w:val="14"/>
        </w:rPr>
        <w:t>opinions</w:t>
      </w:r>
      <w:r w:rsidRPr="0035363A">
        <w:rPr>
          <w:rFonts w:ascii="Arial" w:hAnsi="Arial" w:cs="Arial"/>
          <w:color w:val="231F20"/>
          <w:spacing w:val="-2"/>
          <w:sz w:val="14"/>
          <w:szCs w:val="14"/>
        </w:rPr>
        <w:t xml:space="preserve"> </w:t>
      </w:r>
      <w:r w:rsidRPr="0035363A">
        <w:rPr>
          <w:rFonts w:ascii="Arial" w:hAnsi="Arial" w:cs="Arial"/>
          <w:color w:val="231F20"/>
          <w:sz w:val="14"/>
          <w:szCs w:val="14"/>
        </w:rPr>
        <w:t>of</w:t>
      </w:r>
      <w:r w:rsidRPr="0035363A">
        <w:rPr>
          <w:rFonts w:ascii="Arial" w:hAnsi="Arial" w:cs="Arial"/>
          <w:color w:val="231F20"/>
          <w:w w:val="99"/>
          <w:sz w:val="14"/>
          <w:szCs w:val="14"/>
        </w:rPr>
        <w:t xml:space="preserve"> </w:t>
      </w:r>
      <w:r w:rsidRPr="0035363A">
        <w:rPr>
          <w:rFonts w:ascii="Arial" w:hAnsi="Arial" w:cs="Arial"/>
          <w:color w:val="231F20"/>
          <w:sz w:val="14"/>
          <w:szCs w:val="14"/>
        </w:rPr>
        <w:t>document authors expressed herein do not necessarily state or reflect those of the United States Government or any agency thereof, Argonne</w:t>
      </w:r>
      <w:r w:rsidRPr="0035363A">
        <w:rPr>
          <w:rFonts w:ascii="Arial" w:hAnsi="Arial" w:cs="Arial"/>
          <w:color w:val="231F20"/>
          <w:spacing w:val="-2"/>
          <w:sz w:val="14"/>
          <w:szCs w:val="14"/>
        </w:rPr>
        <w:t xml:space="preserve"> </w:t>
      </w:r>
      <w:r w:rsidRPr="0035363A">
        <w:rPr>
          <w:rFonts w:ascii="Arial" w:hAnsi="Arial" w:cs="Arial"/>
          <w:color w:val="231F20"/>
          <w:sz w:val="14"/>
          <w:szCs w:val="14"/>
        </w:rPr>
        <w:t>National</w:t>
      </w:r>
      <w:r w:rsidRPr="0035363A">
        <w:rPr>
          <w:rFonts w:ascii="Arial" w:hAnsi="Arial" w:cs="Arial"/>
          <w:color w:val="231F20"/>
          <w:spacing w:val="-1"/>
          <w:sz w:val="14"/>
          <w:szCs w:val="14"/>
        </w:rPr>
        <w:t xml:space="preserve"> </w:t>
      </w:r>
      <w:r w:rsidRPr="0035363A">
        <w:rPr>
          <w:rFonts w:ascii="Arial" w:hAnsi="Arial" w:cs="Arial"/>
          <w:color w:val="231F20"/>
          <w:sz w:val="14"/>
          <w:szCs w:val="14"/>
        </w:rPr>
        <w:t>Laborator</w:t>
      </w:r>
      <w:r w:rsidRPr="0035363A">
        <w:rPr>
          <w:rFonts w:ascii="Arial" w:hAnsi="Arial" w:cs="Arial"/>
          <w:color w:val="231F20"/>
          <w:spacing w:val="-11"/>
          <w:sz w:val="14"/>
          <w:szCs w:val="14"/>
        </w:rPr>
        <w:t>y</w:t>
      </w:r>
      <w:r w:rsidRPr="0035363A">
        <w:rPr>
          <w:rFonts w:ascii="Arial" w:hAnsi="Arial" w:cs="Arial"/>
          <w:color w:val="231F20"/>
          <w:sz w:val="14"/>
          <w:szCs w:val="14"/>
        </w:rPr>
        <w:t>, or</w:t>
      </w:r>
      <w:r w:rsidRPr="0035363A">
        <w:rPr>
          <w:rFonts w:ascii="Arial" w:hAnsi="Arial" w:cs="Arial"/>
          <w:color w:val="231F20"/>
          <w:spacing w:val="-1"/>
          <w:sz w:val="14"/>
          <w:szCs w:val="14"/>
        </w:rPr>
        <w:t xml:space="preserve"> </w:t>
      </w:r>
      <w:r w:rsidRPr="0035363A">
        <w:rPr>
          <w:rFonts w:ascii="Arial" w:hAnsi="Arial" w:cs="Arial"/>
          <w:color w:val="231F20"/>
          <w:sz w:val="14"/>
          <w:szCs w:val="14"/>
        </w:rPr>
        <w:t>UChicago</w:t>
      </w:r>
      <w:r w:rsidRPr="0035363A">
        <w:rPr>
          <w:rFonts w:ascii="Arial" w:hAnsi="Arial" w:cs="Arial"/>
          <w:color w:val="231F20"/>
          <w:spacing w:val="-8"/>
          <w:sz w:val="14"/>
          <w:szCs w:val="14"/>
        </w:rPr>
        <w:t xml:space="preserve"> </w:t>
      </w:r>
      <w:r w:rsidRPr="0035363A">
        <w:rPr>
          <w:rFonts w:ascii="Arial" w:hAnsi="Arial" w:cs="Arial"/>
          <w:color w:val="231F20"/>
          <w:sz w:val="14"/>
          <w:szCs w:val="14"/>
        </w:rPr>
        <w:t>Argonne,</w:t>
      </w:r>
      <w:r w:rsidRPr="0035363A">
        <w:rPr>
          <w:rFonts w:ascii="Arial" w:hAnsi="Arial" w:cs="Arial"/>
          <w:color w:val="231F20"/>
          <w:spacing w:val="-1"/>
          <w:sz w:val="14"/>
          <w:szCs w:val="14"/>
        </w:rPr>
        <w:t xml:space="preserve"> </w:t>
      </w:r>
      <w:r w:rsidRPr="0035363A">
        <w:rPr>
          <w:rFonts w:ascii="Arial" w:hAnsi="Arial" w:cs="Arial"/>
          <w:color w:val="231F20"/>
          <w:sz w:val="14"/>
          <w:szCs w:val="14"/>
        </w:rPr>
        <w:t>LLC.</w:t>
      </w:r>
    </w:p>
    <w:p w:rsidR="00DA3699" w:rsidRDefault="00DA3699" w:rsidP="005B07C7">
      <w:pPr>
        <w:pStyle w:val="disclaimer-body"/>
        <w:sectPr w:rsidR="00DA3699" w:rsidSect="00131AB2">
          <w:pgSz w:w="12240" w:h="15840" w:code="1"/>
          <w:pgMar w:top="1440" w:right="1440" w:bottom="1080" w:left="1080" w:header="720" w:footer="720" w:gutter="0"/>
          <w:cols w:space="720"/>
          <w:docGrid w:linePitch="360"/>
        </w:sectPr>
      </w:pPr>
    </w:p>
    <w:p w:rsidR="00ED69E6" w:rsidRDefault="00ED69E6" w:rsidP="00516C1D">
      <w:pPr>
        <w:pStyle w:val="Normal-Arial"/>
      </w:pPr>
    </w:p>
    <w:tbl>
      <w:tblPr>
        <w:tblpPr w:leftFromText="187" w:rightFromText="187" w:horzAnchor="margin" w:tblpXSpec="right" w:tblpY="1"/>
        <w:tblOverlap w:val="never"/>
        <w:tblW w:w="0" w:type="auto"/>
        <w:tblLayout w:type="fixed"/>
        <w:tblCellMar>
          <w:left w:w="0" w:type="dxa"/>
          <w:right w:w="0" w:type="dxa"/>
        </w:tblCellMar>
        <w:tblLook w:val="01E0" w:firstRow="1" w:lastRow="1" w:firstColumn="1" w:lastColumn="1" w:noHBand="0" w:noVBand="0"/>
      </w:tblPr>
      <w:tblGrid>
        <w:gridCol w:w="9180"/>
      </w:tblGrid>
      <w:tr w:rsidR="00ED69E6" w:rsidTr="003F1FDA">
        <w:trPr>
          <w:cantSplit/>
          <w:trHeight w:hRule="exact" w:val="1080"/>
        </w:trPr>
        <w:tc>
          <w:tcPr>
            <w:tcW w:w="9180" w:type="dxa"/>
            <w:tcMar>
              <w:top w:w="260" w:type="dxa"/>
            </w:tcMar>
          </w:tcPr>
          <w:p w:rsidR="00ED69E6" w:rsidRDefault="006E5CA6" w:rsidP="00E15AB6">
            <w:pPr>
              <w:pStyle w:val="ReportNumber"/>
            </w:pPr>
            <w:r w:rsidRPr="006E5CA6">
              <w:t>ANL-XX/XX</w:t>
            </w:r>
          </w:p>
          <w:p w:rsidR="00ED69E6" w:rsidRDefault="00ED69E6" w:rsidP="003F1FDA">
            <w:pPr>
              <w:pStyle w:val="ReportNumber"/>
              <w:keepNext/>
              <w:keepLines/>
              <w:tabs>
                <w:tab w:val="left" w:pos="432"/>
              </w:tabs>
              <w:spacing w:before="100" w:line="280" w:lineRule="exact"/>
              <w:ind w:left="187" w:hanging="187"/>
            </w:pPr>
          </w:p>
        </w:tc>
      </w:tr>
    </w:tbl>
    <w:p w:rsidR="00C649C4" w:rsidRDefault="00C649C4" w:rsidP="00516C1D">
      <w:pPr>
        <w:pStyle w:val="Normal-Arial"/>
      </w:pPr>
    </w:p>
    <w:p w:rsidR="00C649C4" w:rsidRPr="00516C1D" w:rsidRDefault="00C649C4" w:rsidP="00516C1D">
      <w:pPr>
        <w:pStyle w:val="Normal-Arial"/>
      </w:pPr>
    </w:p>
    <w:p w:rsidR="00C649C4" w:rsidRPr="00516C1D" w:rsidRDefault="00C649C4" w:rsidP="00516C1D">
      <w:pPr>
        <w:pStyle w:val="Normal-Arial"/>
      </w:pPr>
    </w:p>
    <w:p w:rsidR="00C649C4" w:rsidRPr="00516C1D" w:rsidRDefault="00C649C4" w:rsidP="00516C1D">
      <w:pPr>
        <w:pStyle w:val="Normal-Arial"/>
      </w:pPr>
    </w:p>
    <w:p w:rsidR="00C649C4" w:rsidRDefault="00C649C4" w:rsidP="00C649C4">
      <w:pPr>
        <w:pStyle w:val="Normal-Arial"/>
      </w:pPr>
    </w:p>
    <w:p w:rsidR="00436E8D" w:rsidRDefault="00436E8D" w:rsidP="00C649C4">
      <w:pPr>
        <w:pStyle w:val="Normal-Arial"/>
      </w:pPr>
    </w:p>
    <w:p w:rsidR="00C649C4" w:rsidRDefault="00C649C4" w:rsidP="00C649C4">
      <w:pPr>
        <w:pStyle w:val="Normal-Arial"/>
      </w:pPr>
    </w:p>
    <w:tbl>
      <w:tblPr>
        <w:tblpPr w:vertAnchor="page" w:horzAnchor="margin" w:tblpY="3385"/>
        <w:tblOverlap w:val="never"/>
        <w:tblW w:w="9216" w:type="dxa"/>
        <w:tblLayout w:type="fixed"/>
        <w:tblCellMar>
          <w:left w:w="0" w:type="dxa"/>
          <w:right w:w="0" w:type="dxa"/>
        </w:tblCellMar>
        <w:tblLook w:val="01E0" w:firstRow="1" w:lastRow="1" w:firstColumn="1" w:lastColumn="1" w:noHBand="0" w:noVBand="0"/>
      </w:tblPr>
      <w:tblGrid>
        <w:gridCol w:w="9216"/>
      </w:tblGrid>
      <w:tr w:rsidR="00C649C4" w:rsidTr="003F1FDA">
        <w:trPr>
          <w:cantSplit/>
          <w:trHeight w:hRule="exact" w:val="2160"/>
        </w:trPr>
        <w:tc>
          <w:tcPr>
            <w:tcW w:w="9216" w:type="dxa"/>
            <w:vAlign w:val="bottom"/>
          </w:tcPr>
          <w:p w:rsidR="006E5CA6" w:rsidRPr="006E5CA6" w:rsidRDefault="006E5CA6" w:rsidP="006E5CA6">
            <w:pPr>
              <w:pStyle w:val="ReportTitle2"/>
              <w:framePr w:wrap="auto" w:vAnchor="margin" w:hAnchor="text" w:yAlign="inline"/>
              <w:suppressOverlap w:val="0"/>
              <w:rPr>
                <w:szCs w:val="36"/>
              </w:rPr>
            </w:pPr>
            <w:r w:rsidRPr="006E5CA6">
              <w:rPr>
                <w:szCs w:val="36"/>
              </w:rPr>
              <w:t>Financial Analysis of Experimental Releases</w:t>
            </w:r>
          </w:p>
          <w:p w:rsidR="006E5CA6" w:rsidRPr="006E5CA6" w:rsidRDefault="006E5CA6" w:rsidP="006E5CA6">
            <w:pPr>
              <w:pStyle w:val="ReportTitle2"/>
              <w:framePr w:wrap="auto" w:vAnchor="margin" w:hAnchor="text" w:yAlign="inline"/>
              <w:suppressOverlap w:val="0"/>
              <w:rPr>
                <w:szCs w:val="36"/>
              </w:rPr>
            </w:pPr>
            <w:r w:rsidRPr="006E5CA6">
              <w:rPr>
                <w:szCs w:val="36"/>
              </w:rPr>
              <w:t>Conducted at Glen Canyon Dam</w:t>
            </w:r>
          </w:p>
          <w:p w:rsidR="00C649C4" w:rsidRPr="003F1FDA" w:rsidRDefault="006E5CA6" w:rsidP="006E5CA6">
            <w:pPr>
              <w:pStyle w:val="ReportTitle2"/>
              <w:framePr w:wrap="auto" w:vAnchor="margin" w:hAnchor="text" w:yAlign="inline"/>
              <w:suppressOverlap w:val="0"/>
              <w:rPr>
                <w:szCs w:val="36"/>
              </w:rPr>
            </w:pPr>
            <w:r w:rsidRPr="006E5CA6">
              <w:rPr>
                <w:szCs w:val="36"/>
              </w:rPr>
              <w:t>during Water Year 2019</w:t>
            </w:r>
          </w:p>
        </w:tc>
      </w:tr>
      <w:tr w:rsidR="00C649C4" w:rsidTr="003F1FDA">
        <w:trPr>
          <w:cantSplit/>
          <w:trHeight w:hRule="exact" w:val="216"/>
        </w:trPr>
        <w:tc>
          <w:tcPr>
            <w:tcW w:w="9216" w:type="dxa"/>
            <w:tcBorders>
              <w:bottom w:val="single" w:sz="8" w:space="0" w:color="auto"/>
            </w:tcBorders>
          </w:tcPr>
          <w:p w:rsidR="00C649C4" w:rsidRDefault="00C649C4" w:rsidP="003F1FDA">
            <w:pPr>
              <w:pStyle w:val="Normal-Arial"/>
              <w:keepNext/>
              <w:keepLines/>
              <w:tabs>
                <w:tab w:val="left" w:pos="432"/>
              </w:tabs>
              <w:spacing w:line="280" w:lineRule="exact"/>
              <w:ind w:left="187" w:hanging="187"/>
            </w:pPr>
          </w:p>
        </w:tc>
      </w:tr>
      <w:tr w:rsidR="00C649C4" w:rsidTr="003F1FDA">
        <w:trPr>
          <w:cantSplit/>
          <w:trHeight w:hRule="exact" w:val="216"/>
        </w:trPr>
        <w:tc>
          <w:tcPr>
            <w:tcW w:w="9216" w:type="dxa"/>
            <w:tcBorders>
              <w:top w:val="single" w:sz="8" w:space="0" w:color="auto"/>
            </w:tcBorders>
          </w:tcPr>
          <w:p w:rsidR="00C649C4" w:rsidRDefault="00C649C4" w:rsidP="003F1FDA">
            <w:pPr>
              <w:pStyle w:val="Normal-Arial"/>
              <w:keepNext/>
              <w:keepLines/>
              <w:tabs>
                <w:tab w:val="left" w:pos="432"/>
              </w:tabs>
              <w:spacing w:line="280" w:lineRule="exact"/>
              <w:ind w:left="187" w:hanging="187"/>
            </w:pPr>
          </w:p>
        </w:tc>
      </w:tr>
    </w:tbl>
    <w:p w:rsidR="00031A50" w:rsidRPr="00031A50" w:rsidRDefault="00031A50" w:rsidP="00031A50">
      <w:pPr>
        <w:rPr>
          <w:vanish/>
        </w:rPr>
      </w:pPr>
    </w:p>
    <w:tbl>
      <w:tblPr>
        <w:tblpPr w:vertAnchor="page" w:horzAnchor="margin" w:tblpY="5761"/>
        <w:tblOverlap w:val="never"/>
        <w:tblW w:w="9216" w:type="dxa"/>
        <w:tblLayout w:type="fixed"/>
        <w:tblCellMar>
          <w:left w:w="0" w:type="dxa"/>
          <w:right w:w="0" w:type="dxa"/>
        </w:tblCellMar>
        <w:tblLook w:val="01E0" w:firstRow="1" w:lastRow="1" w:firstColumn="1" w:lastColumn="1" w:noHBand="0" w:noVBand="0"/>
      </w:tblPr>
      <w:tblGrid>
        <w:gridCol w:w="9216"/>
      </w:tblGrid>
      <w:tr w:rsidR="00F51A9E" w:rsidTr="00516C1D">
        <w:trPr>
          <w:cantSplit/>
          <w:trHeight w:val="1152"/>
        </w:trPr>
        <w:tc>
          <w:tcPr>
            <w:tcW w:w="9216" w:type="dxa"/>
          </w:tcPr>
          <w:p w:rsidR="00F51A9E" w:rsidRPr="003F1FDA" w:rsidRDefault="00F51A9E" w:rsidP="00516C1D">
            <w:pPr>
              <w:pStyle w:val="Subtitle2"/>
              <w:framePr w:wrap="auto" w:vAnchor="margin" w:hAnchor="text" w:yAlign="inline"/>
              <w:suppressOverlap w:val="0"/>
            </w:pPr>
          </w:p>
          <w:p w:rsidR="00516C1D" w:rsidRPr="003F1FDA" w:rsidRDefault="00516C1D" w:rsidP="00516C1D">
            <w:pPr>
              <w:pStyle w:val="OptionalSubtitle"/>
              <w:keepNext/>
              <w:keepLines/>
              <w:tabs>
                <w:tab w:val="left" w:pos="432"/>
              </w:tabs>
              <w:rPr>
                <w:sz w:val="28"/>
                <w:szCs w:val="28"/>
              </w:rPr>
            </w:pPr>
          </w:p>
        </w:tc>
      </w:tr>
    </w:tbl>
    <w:p w:rsidR="00031A50" w:rsidRPr="00031A50" w:rsidRDefault="00031A50" w:rsidP="00031A50">
      <w:pPr>
        <w:rPr>
          <w:vanish/>
        </w:rPr>
      </w:pPr>
    </w:p>
    <w:tbl>
      <w:tblPr>
        <w:tblpPr w:vertAnchor="page" w:horzAnchor="margin" w:tblpY="7633"/>
        <w:tblOverlap w:val="never"/>
        <w:tblW w:w="9216" w:type="dxa"/>
        <w:tblLayout w:type="fixed"/>
        <w:tblCellMar>
          <w:left w:w="0" w:type="dxa"/>
          <w:right w:w="0" w:type="dxa"/>
        </w:tblCellMar>
        <w:tblLook w:val="01E0" w:firstRow="1" w:lastRow="1" w:firstColumn="1" w:lastColumn="1" w:noHBand="0" w:noVBand="0"/>
      </w:tblPr>
      <w:tblGrid>
        <w:gridCol w:w="9216"/>
      </w:tblGrid>
      <w:tr w:rsidR="00F51A9E" w:rsidTr="003F1FDA">
        <w:trPr>
          <w:cantSplit/>
          <w:trHeight w:hRule="exact" w:val="3600"/>
        </w:trPr>
        <w:tc>
          <w:tcPr>
            <w:tcW w:w="9216" w:type="dxa"/>
          </w:tcPr>
          <w:p w:rsidR="00F51A9E" w:rsidRDefault="00F51A9E" w:rsidP="00516C1D">
            <w:pPr>
              <w:pStyle w:val="ByandDate"/>
              <w:framePr w:wrap="auto" w:vAnchor="margin" w:hAnchor="text" w:yAlign="inline"/>
              <w:suppressOverlap w:val="0"/>
            </w:pPr>
            <w:r>
              <w:t>by</w:t>
            </w:r>
          </w:p>
          <w:p w:rsidR="00F51A9E" w:rsidRDefault="006E5CA6" w:rsidP="003F1FDA">
            <w:pPr>
              <w:pStyle w:val="ByandDate"/>
              <w:keepNext/>
              <w:keepLines/>
              <w:framePr w:wrap="auto" w:vAnchor="margin" w:hAnchor="text" w:yAlign="inline"/>
              <w:tabs>
                <w:tab w:val="left" w:pos="432"/>
              </w:tabs>
              <w:ind w:left="187" w:hanging="187"/>
              <w:suppressOverlap w:val="0"/>
            </w:pPr>
            <w:r>
              <w:t>Q. Ploussard, and T.D. Veselka</w:t>
            </w:r>
          </w:p>
          <w:p w:rsidR="00F51A9E" w:rsidRDefault="006E5CA6" w:rsidP="003F1FDA">
            <w:pPr>
              <w:pStyle w:val="ByandDate"/>
              <w:keepNext/>
              <w:keepLines/>
              <w:framePr w:wrap="auto" w:vAnchor="margin" w:hAnchor="text" w:yAlign="inline"/>
              <w:tabs>
                <w:tab w:val="left" w:pos="432"/>
              </w:tabs>
              <w:ind w:left="187" w:hanging="187"/>
              <w:suppressOverlap w:val="0"/>
            </w:pPr>
            <w:r>
              <w:t xml:space="preserve">Energy Systems </w:t>
            </w:r>
            <w:r w:rsidR="007C05B8">
              <w:t>Division</w:t>
            </w:r>
            <w:r w:rsidR="00064BEB">
              <w:t>,</w:t>
            </w:r>
            <w:r w:rsidR="00F51A9E">
              <w:t xml:space="preserve"> Argonne National Laboratory</w:t>
            </w:r>
          </w:p>
          <w:p w:rsidR="00A34213" w:rsidRDefault="00A34213" w:rsidP="003F1FDA">
            <w:pPr>
              <w:pStyle w:val="ByandDate"/>
              <w:keepNext/>
              <w:keepLines/>
              <w:framePr w:wrap="auto" w:vAnchor="margin" w:hAnchor="text" w:yAlign="inline"/>
              <w:tabs>
                <w:tab w:val="left" w:pos="432"/>
              </w:tabs>
              <w:ind w:left="187" w:hanging="187"/>
              <w:suppressOverlap w:val="0"/>
            </w:pPr>
          </w:p>
          <w:p w:rsidR="00A34213" w:rsidRDefault="006E5CA6" w:rsidP="003F1FDA">
            <w:pPr>
              <w:pStyle w:val="ByandDate"/>
              <w:keepNext/>
              <w:keepLines/>
              <w:framePr w:wrap="auto" w:vAnchor="margin" w:hAnchor="text" w:yAlign="inline"/>
              <w:tabs>
                <w:tab w:val="left" w:pos="432"/>
              </w:tabs>
              <w:ind w:left="187" w:hanging="187"/>
              <w:suppressOverlap w:val="0"/>
            </w:pPr>
            <w:r w:rsidRPr="006E5CA6">
              <w:t>Work sponsored by the United States Department of Energy</w:t>
            </w:r>
          </w:p>
          <w:p w:rsidR="000B664D" w:rsidRDefault="006E5CA6" w:rsidP="003F1FDA">
            <w:pPr>
              <w:pStyle w:val="ByandDate"/>
              <w:keepNext/>
              <w:keepLines/>
              <w:framePr w:wrap="auto" w:vAnchor="margin" w:hAnchor="text" w:yAlign="inline"/>
              <w:tabs>
                <w:tab w:val="left" w:pos="432"/>
              </w:tabs>
              <w:ind w:left="187" w:hanging="187"/>
              <w:suppressOverlap w:val="0"/>
            </w:pPr>
            <w:r w:rsidRPr="006E5CA6">
              <w:t>and the Western Area Power Administration</w:t>
            </w:r>
          </w:p>
          <w:p w:rsidR="00F51A9E" w:rsidRDefault="00F51A9E" w:rsidP="003F1FDA">
            <w:pPr>
              <w:pStyle w:val="ByandDate"/>
              <w:keepNext/>
              <w:keepLines/>
              <w:framePr w:wrap="auto" w:vAnchor="margin" w:hAnchor="text" w:yAlign="inline"/>
              <w:tabs>
                <w:tab w:val="left" w:pos="432"/>
              </w:tabs>
              <w:ind w:left="187" w:hanging="187"/>
              <w:suppressOverlap w:val="0"/>
            </w:pPr>
          </w:p>
          <w:p w:rsidR="00516C1D" w:rsidRDefault="00516C1D" w:rsidP="003F1FDA">
            <w:pPr>
              <w:pStyle w:val="ByandDate"/>
              <w:keepNext/>
              <w:keepLines/>
              <w:framePr w:wrap="auto" w:vAnchor="margin" w:hAnchor="text" w:yAlign="inline"/>
              <w:tabs>
                <w:tab w:val="left" w:pos="432"/>
              </w:tabs>
              <w:ind w:left="187" w:hanging="187"/>
              <w:suppressOverlap w:val="0"/>
            </w:pPr>
          </w:p>
          <w:p w:rsidR="00F51A9E" w:rsidRDefault="006E5CA6" w:rsidP="00D2359E">
            <w:pPr>
              <w:pStyle w:val="ByandDate"/>
              <w:keepNext/>
              <w:keepLines/>
              <w:framePr w:wrap="auto" w:vAnchor="margin" w:hAnchor="text" w:yAlign="inline"/>
              <w:tabs>
                <w:tab w:val="left" w:pos="432"/>
              </w:tabs>
              <w:ind w:left="187" w:hanging="187"/>
              <w:suppressOverlap w:val="0"/>
            </w:pPr>
            <w:r>
              <w:t>September 2019</w:t>
            </w:r>
          </w:p>
        </w:tc>
      </w:tr>
    </w:tbl>
    <w:p w:rsidR="00A83D01" w:rsidRDefault="00A83D01" w:rsidP="007C3534">
      <w:pPr>
        <w:pStyle w:val="Normal-Arial"/>
        <w:sectPr w:rsidR="00A83D01" w:rsidSect="00E15AB6">
          <w:pgSz w:w="12240" w:h="15840" w:code="1"/>
          <w:pgMar w:top="720" w:right="1080" w:bottom="1440" w:left="1987" w:header="720" w:footer="720" w:gutter="0"/>
          <w:cols w:space="720"/>
          <w:docGrid w:linePitch="360"/>
        </w:sectPr>
      </w:pPr>
    </w:p>
    <w:p w:rsidR="003100CE" w:rsidRDefault="003100CE">
      <w:pPr>
        <w:spacing w:line="240" w:lineRule="auto"/>
        <w:jc w:val="left"/>
        <w:sectPr w:rsidR="003100CE" w:rsidSect="007F3F08">
          <w:headerReference w:type="even" r:id="rId15"/>
          <w:headerReference w:type="default" r:id="rId16"/>
          <w:footerReference w:type="default" r:id="rId17"/>
          <w:headerReference w:type="first" r:id="rId18"/>
          <w:footerReference w:type="first" r:id="rId19"/>
          <w:footnotePr>
            <w:numFmt w:val="chicago"/>
          </w:footnotePr>
          <w:pgSz w:w="12240" w:h="15840" w:code="1"/>
          <w:pgMar w:top="1440" w:right="1440" w:bottom="1008" w:left="1440" w:header="720" w:footer="720" w:gutter="0"/>
          <w:pgNumType w:fmt="lowerRoman"/>
          <w:cols w:space="720"/>
          <w:docGrid w:linePitch="360"/>
        </w:sectPr>
      </w:pPr>
    </w:p>
    <w:p w:rsidR="005B07C7" w:rsidRDefault="005B07C7" w:rsidP="005B07C7">
      <w:pPr>
        <w:pStyle w:val="Heading1"/>
        <w:numPr>
          <w:ilvl w:val="0"/>
          <w:numId w:val="0"/>
        </w:numPr>
      </w:pPr>
      <w:bookmarkStart w:id="1" w:name="_Toc19196951"/>
      <w:r>
        <w:lastRenderedPageBreak/>
        <w:t>F</w:t>
      </w:r>
      <w:r w:rsidR="00606D1D">
        <w:t>oreword</w:t>
      </w:r>
      <w:bookmarkEnd w:id="1"/>
    </w:p>
    <w:p w:rsidR="005B07C7" w:rsidRPr="005D1544" w:rsidRDefault="005B07C7" w:rsidP="005B07C7">
      <w:pPr>
        <w:ind w:firstLine="432"/>
      </w:pPr>
    </w:p>
    <w:p w:rsidR="006E5CA6" w:rsidRPr="006E5CA6" w:rsidRDefault="006E5CA6" w:rsidP="00E25099">
      <w:r w:rsidRPr="006E5CA6">
        <w:t xml:space="preserve">This report was prepared by Argonne National Laboratory in support of a financial analysis of the Glen Canyon Dam high-flow experimental release that </w:t>
      </w:r>
      <w:r w:rsidR="00620791">
        <w:t>is</w:t>
      </w:r>
      <w:r w:rsidR="00620791" w:rsidRPr="006E5CA6">
        <w:t xml:space="preserve"> </w:t>
      </w:r>
      <w:r w:rsidRPr="006E5CA6">
        <w:t xml:space="preserve">intended to mobilize the sand in the </w:t>
      </w:r>
      <w:r w:rsidR="00620791">
        <w:t>Colorado R</w:t>
      </w:r>
      <w:r w:rsidRPr="006E5CA6">
        <w:t xml:space="preserve">iver with high-volume water releases from the dam and redeposit it downstream as sandbars along the </w:t>
      </w:r>
      <w:r w:rsidR="00620791">
        <w:t>r</w:t>
      </w:r>
      <w:r w:rsidRPr="006E5CA6">
        <w:t>iver. These sandbars serve, among other things, as habitat for wildlife. This experimental release was conducted d</w:t>
      </w:r>
      <w:r>
        <w:t>uring the period from November 5 to November 8, 2018</w:t>
      </w:r>
      <w:r w:rsidRPr="006E5CA6">
        <w:t>. This analysis was funded by the Colorado River Storage Project (CRSP) Office of the U.S. Department of Energy Western Area Power Administration (WAPA). CRSP markets electricity produced by hydroelectric facilities collectively known as the Salt Lake City Area Integrated Projects including dams equipped for power generation on the Colorado, Green, Gunnison, and Rio Grande Rivers and on Plateau Creek in the states of Arizona, Colorado, New Mexico, Utah, and Wyoming.</w:t>
      </w:r>
    </w:p>
    <w:p w:rsidR="006E5CA6" w:rsidRPr="006E5CA6" w:rsidRDefault="006E5CA6" w:rsidP="00E25099"/>
    <w:p w:rsidR="005B07C7" w:rsidRPr="00C74D76" w:rsidRDefault="006E5CA6" w:rsidP="00E25099">
      <w:r w:rsidRPr="006E5CA6">
        <w:t>Staff members in Argonne’s Energy Systems Division prepared this technical report with assistance from the WAPA CRSP and Energy Marketing and Management Offices.</w:t>
      </w:r>
      <w:r w:rsidR="005B07C7" w:rsidRPr="00C74D76">
        <w:t xml:space="preserve"> </w:t>
      </w:r>
    </w:p>
    <w:p w:rsidR="005B07C7" w:rsidRDefault="005B07C7" w:rsidP="005B07C7">
      <w:pPr>
        <w:rPr>
          <w:b/>
        </w:rPr>
      </w:pPr>
    </w:p>
    <w:p w:rsidR="005B07C7" w:rsidRDefault="005B07C7" w:rsidP="005B07C7">
      <w:pPr>
        <w:rPr>
          <w:b/>
        </w:rPr>
      </w:pPr>
    </w:p>
    <w:p w:rsidR="005B07C7" w:rsidRDefault="005B07C7" w:rsidP="005B07C7">
      <w:pPr>
        <w:rPr>
          <w:b/>
        </w:rPr>
      </w:pPr>
    </w:p>
    <w:p w:rsidR="005B07C7" w:rsidRDefault="005B07C7" w:rsidP="005B07C7">
      <w:pPr>
        <w:rPr>
          <w:b/>
        </w:rPr>
      </w:pPr>
    </w:p>
    <w:p w:rsidR="005B07C7" w:rsidRPr="00B95E2F" w:rsidRDefault="005B07C7" w:rsidP="005B07C7">
      <w:pPr>
        <w:rPr>
          <w:b/>
        </w:rPr>
      </w:pPr>
    </w:p>
    <w:p w:rsidR="005B07C7" w:rsidRDefault="005B07C7" w:rsidP="005B07C7">
      <w:pPr>
        <w:rPr>
          <w:b/>
        </w:rPr>
      </w:pPr>
      <w:r>
        <w:rPr>
          <w:b/>
        </w:rPr>
        <w:br w:type="page"/>
      </w: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rPr>
          <w:rFonts w:ascii="CG Times (W1)" w:hAnsi="CG Times (W1)"/>
        </w:rPr>
      </w:pPr>
    </w:p>
    <w:p w:rsidR="005B07C7" w:rsidRPr="00115610" w:rsidRDefault="005B07C7" w:rsidP="005B07C7">
      <w:pPr>
        <w:jc w:val="center"/>
      </w:pPr>
      <w:r w:rsidRPr="00115610">
        <w:t>This page intentionally left blank.</w:t>
      </w:r>
    </w:p>
    <w:p w:rsidR="005B07C7" w:rsidRDefault="005B07C7" w:rsidP="005B07C7">
      <w:pPr>
        <w:rPr>
          <w:rFonts w:ascii="CG Times (W1)" w:hAnsi="CG Times (W1)"/>
        </w:rPr>
      </w:pPr>
    </w:p>
    <w:p w:rsidR="005B07C7" w:rsidRDefault="005B07C7" w:rsidP="005B07C7">
      <w:pPr>
        <w:rPr>
          <w:rFonts w:ascii="CG Times (W1)" w:hAnsi="CG Times (W1)"/>
        </w:rPr>
      </w:pPr>
    </w:p>
    <w:p w:rsidR="005B07C7" w:rsidRDefault="005B07C7" w:rsidP="005B07C7">
      <w:pPr>
        <w:pStyle w:val="Heading1"/>
        <w:numPr>
          <w:ilvl w:val="0"/>
          <w:numId w:val="0"/>
        </w:numPr>
      </w:pPr>
      <w:r>
        <w:br w:type="page"/>
      </w:r>
      <w:bookmarkStart w:id="2" w:name="_Toc19196952"/>
      <w:r>
        <w:lastRenderedPageBreak/>
        <w:t>T</w:t>
      </w:r>
      <w:r w:rsidR="003100CE">
        <w:t>able of Contents</w:t>
      </w:r>
      <w:bookmarkEnd w:id="2"/>
    </w:p>
    <w:p w:rsidR="005B07C7" w:rsidRDefault="005B07C7" w:rsidP="005B07C7">
      <w:pPr>
        <w:ind w:firstLine="720"/>
        <w:jc w:val="center"/>
        <w:rPr>
          <w:b/>
        </w:rPr>
      </w:pPr>
    </w:p>
    <w:p w:rsidR="005B07C7" w:rsidRDefault="005B07C7" w:rsidP="005B07C7">
      <w:pPr>
        <w:ind w:firstLine="720"/>
        <w:jc w:val="center"/>
        <w:rPr>
          <w:b/>
        </w:rPr>
      </w:pPr>
    </w:p>
    <w:p w:rsidR="005441DE" w:rsidRDefault="005B07C7">
      <w:pPr>
        <w:pStyle w:val="TOC1"/>
        <w:rPr>
          <w:rFonts w:asciiTheme="minorHAnsi" w:eastAsiaTheme="minorEastAsia" w:hAnsiTheme="minorHAnsi" w:cstheme="minorBidi"/>
          <w:sz w:val="22"/>
          <w:szCs w:val="22"/>
        </w:rPr>
      </w:pPr>
      <w:r>
        <w:rPr>
          <w:szCs w:val="22"/>
        </w:rPr>
        <w:fldChar w:fldCharType="begin"/>
      </w:r>
      <w:r>
        <w:instrText xml:space="preserve"> TOC \o "1-3" \h \z \u </w:instrText>
      </w:r>
      <w:r>
        <w:rPr>
          <w:szCs w:val="22"/>
        </w:rPr>
        <w:fldChar w:fldCharType="separate"/>
      </w:r>
      <w:hyperlink w:anchor="_Toc19196951" w:history="1">
        <w:r w:rsidR="005441DE" w:rsidRPr="007D7875">
          <w:rPr>
            <w:rStyle w:val="Hyperlink"/>
          </w:rPr>
          <w:t>Foreword</w:t>
        </w:r>
        <w:r w:rsidR="005441DE">
          <w:rPr>
            <w:webHidden/>
          </w:rPr>
          <w:tab/>
        </w:r>
        <w:r w:rsidR="005441DE">
          <w:rPr>
            <w:webHidden/>
          </w:rPr>
          <w:fldChar w:fldCharType="begin"/>
        </w:r>
        <w:r w:rsidR="005441DE">
          <w:rPr>
            <w:webHidden/>
          </w:rPr>
          <w:instrText xml:space="preserve"> PAGEREF _Toc19196951 \h </w:instrText>
        </w:r>
        <w:r w:rsidR="005441DE">
          <w:rPr>
            <w:webHidden/>
          </w:rPr>
        </w:r>
        <w:r w:rsidR="005441DE">
          <w:rPr>
            <w:webHidden/>
          </w:rPr>
          <w:fldChar w:fldCharType="separate"/>
        </w:r>
        <w:r w:rsidR="005441DE">
          <w:rPr>
            <w:webHidden/>
          </w:rPr>
          <w:t>i</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52" w:history="1">
        <w:r w:rsidR="005441DE" w:rsidRPr="007D7875">
          <w:rPr>
            <w:rStyle w:val="Hyperlink"/>
          </w:rPr>
          <w:t>Table of Contents</w:t>
        </w:r>
        <w:r w:rsidR="005441DE">
          <w:rPr>
            <w:webHidden/>
          </w:rPr>
          <w:tab/>
        </w:r>
        <w:r w:rsidR="005441DE">
          <w:rPr>
            <w:webHidden/>
          </w:rPr>
          <w:fldChar w:fldCharType="begin"/>
        </w:r>
        <w:r w:rsidR="005441DE">
          <w:rPr>
            <w:webHidden/>
          </w:rPr>
          <w:instrText xml:space="preserve"> PAGEREF _Toc19196952 \h </w:instrText>
        </w:r>
        <w:r w:rsidR="005441DE">
          <w:rPr>
            <w:webHidden/>
          </w:rPr>
        </w:r>
        <w:r w:rsidR="005441DE">
          <w:rPr>
            <w:webHidden/>
          </w:rPr>
          <w:fldChar w:fldCharType="separate"/>
        </w:r>
        <w:r w:rsidR="005441DE">
          <w:rPr>
            <w:webHidden/>
          </w:rPr>
          <w:t>iii</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53" w:history="1">
        <w:r w:rsidR="005441DE" w:rsidRPr="007D7875">
          <w:rPr>
            <w:rStyle w:val="Hyperlink"/>
          </w:rPr>
          <w:t>List of Figures</w:t>
        </w:r>
        <w:r w:rsidR="005441DE">
          <w:rPr>
            <w:webHidden/>
          </w:rPr>
          <w:tab/>
        </w:r>
        <w:r w:rsidR="005441DE">
          <w:rPr>
            <w:webHidden/>
          </w:rPr>
          <w:fldChar w:fldCharType="begin"/>
        </w:r>
        <w:r w:rsidR="005441DE">
          <w:rPr>
            <w:webHidden/>
          </w:rPr>
          <w:instrText xml:space="preserve"> PAGEREF _Toc19196953 \h </w:instrText>
        </w:r>
        <w:r w:rsidR="005441DE">
          <w:rPr>
            <w:webHidden/>
          </w:rPr>
        </w:r>
        <w:r w:rsidR="005441DE">
          <w:rPr>
            <w:webHidden/>
          </w:rPr>
          <w:fldChar w:fldCharType="separate"/>
        </w:r>
        <w:r w:rsidR="005441DE">
          <w:rPr>
            <w:webHidden/>
          </w:rPr>
          <w:t>iv</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54" w:history="1">
        <w:r w:rsidR="005441DE" w:rsidRPr="007D7875">
          <w:rPr>
            <w:rStyle w:val="Hyperlink"/>
          </w:rPr>
          <w:t>List of Tables</w:t>
        </w:r>
        <w:r w:rsidR="005441DE">
          <w:rPr>
            <w:webHidden/>
          </w:rPr>
          <w:tab/>
        </w:r>
        <w:r w:rsidR="005441DE">
          <w:rPr>
            <w:webHidden/>
          </w:rPr>
          <w:fldChar w:fldCharType="begin"/>
        </w:r>
        <w:r w:rsidR="005441DE">
          <w:rPr>
            <w:webHidden/>
          </w:rPr>
          <w:instrText xml:space="preserve"> PAGEREF _Toc19196954 \h </w:instrText>
        </w:r>
        <w:r w:rsidR="005441DE">
          <w:rPr>
            <w:webHidden/>
          </w:rPr>
        </w:r>
        <w:r w:rsidR="005441DE">
          <w:rPr>
            <w:webHidden/>
          </w:rPr>
          <w:fldChar w:fldCharType="separate"/>
        </w:r>
        <w:r w:rsidR="005441DE">
          <w:rPr>
            <w:webHidden/>
          </w:rPr>
          <w:t>iv</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55" w:history="1">
        <w:r w:rsidR="005441DE" w:rsidRPr="007D7875">
          <w:rPr>
            <w:rStyle w:val="Hyperlink"/>
          </w:rPr>
          <w:t>List of Acronyms and Abbreviations</w:t>
        </w:r>
        <w:r w:rsidR="005441DE">
          <w:rPr>
            <w:webHidden/>
          </w:rPr>
          <w:tab/>
        </w:r>
        <w:r w:rsidR="005441DE">
          <w:rPr>
            <w:webHidden/>
          </w:rPr>
          <w:fldChar w:fldCharType="begin"/>
        </w:r>
        <w:r w:rsidR="005441DE">
          <w:rPr>
            <w:webHidden/>
          </w:rPr>
          <w:instrText xml:space="preserve"> PAGEREF _Toc19196955 \h </w:instrText>
        </w:r>
        <w:r w:rsidR="005441DE">
          <w:rPr>
            <w:webHidden/>
          </w:rPr>
        </w:r>
        <w:r w:rsidR="005441DE">
          <w:rPr>
            <w:webHidden/>
          </w:rPr>
          <w:fldChar w:fldCharType="separate"/>
        </w:r>
        <w:r w:rsidR="005441DE">
          <w:rPr>
            <w:webHidden/>
          </w:rPr>
          <w:t>v</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56" w:history="1">
        <w:r w:rsidR="005441DE" w:rsidRPr="007D7875">
          <w:rPr>
            <w:rStyle w:val="Hyperlink"/>
          </w:rPr>
          <w:t>Units of Measure</w:t>
        </w:r>
        <w:r w:rsidR="005441DE">
          <w:rPr>
            <w:webHidden/>
          </w:rPr>
          <w:tab/>
        </w:r>
        <w:r w:rsidR="005441DE">
          <w:rPr>
            <w:webHidden/>
          </w:rPr>
          <w:fldChar w:fldCharType="begin"/>
        </w:r>
        <w:r w:rsidR="005441DE">
          <w:rPr>
            <w:webHidden/>
          </w:rPr>
          <w:instrText xml:space="preserve"> PAGEREF _Toc19196956 \h </w:instrText>
        </w:r>
        <w:r w:rsidR="005441DE">
          <w:rPr>
            <w:webHidden/>
          </w:rPr>
        </w:r>
        <w:r w:rsidR="005441DE">
          <w:rPr>
            <w:webHidden/>
          </w:rPr>
          <w:fldChar w:fldCharType="separate"/>
        </w:r>
        <w:r w:rsidR="005441DE">
          <w:rPr>
            <w:webHidden/>
          </w:rPr>
          <w:t>vi</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57" w:history="1">
        <w:r w:rsidR="005441DE" w:rsidRPr="007D7875">
          <w:rPr>
            <w:rStyle w:val="Hyperlink"/>
          </w:rPr>
          <w:t>Executive Summary</w:t>
        </w:r>
        <w:r w:rsidR="005441DE">
          <w:rPr>
            <w:webHidden/>
          </w:rPr>
          <w:tab/>
        </w:r>
        <w:r w:rsidR="005441DE">
          <w:rPr>
            <w:webHidden/>
          </w:rPr>
          <w:fldChar w:fldCharType="begin"/>
        </w:r>
        <w:r w:rsidR="005441DE">
          <w:rPr>
            <w:webHidden/>
          </w:rPr>
          <w:instrText xml:space="preserve"> PAGEREF _Toc19196957 \h </w:instrText>
        </w:r>
        <w:r w:rsidR="005441DE">
          <w:rPr>
            <w:webHidden/>
          </w:rPr>
        </w:r>
        <w:r w:rsidR="005441DE">
          <w:rPr>
            <w:webHidden/>
          </w:rPr>
          <w:fldChar w:fldCharType="separate"/>
        </w:r>
        <w:r w:rsidR="005441DE">
          <w:rPr>
            <w:webHidden/>
          </w:rPr>
          <w:t>1</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58" w:history="1">
        <w:r w:rsidR="005441DE" w:rsidRPr="007D7875">
          <w:rPr>
            <w:rStyle w:val="Hyperlink"/>
          </w:rPr>
          <w:t>1</w:t>
        </w:r>
        <w:r w:rsidR="005441DE">
          <w:rPr>
            <w:rFonts w:asciiTheme="minorHAnsi" w:eastAsiaTheme="minorEastAsia" w:hAnsiTheme="minorHAnsi" w:cstheme="minorBidi"/>
            <w:sz w:val="22"/>
            <w:szCs w:val="22"/>
          </w:rPr>
          <w:tab/>
        </w:r>
        <w:r w:rsidR="005441DE" w:rsidRPr="007D7875">
          <w:rPr>
            <w:rStyle w:val="Hyperlink"/>
          </w:rPr>
          <w:t>Introduction</w:t>
        </w:r>
        <w:r w:rsidR="005441DE">
          <w:rPr>
            <w:webHidden/>
          </w:rPr>
          <w:tab/>
        </w:r>
        <w:r w:rsidR="005441DE">
          <w:rPr>
            <w:webHidden/>
          </w:rPr>
          <w:fldChar w:fldCharType="begin"/>
        </w:r>
        <w:r w:rsidR="005441DE">
          <w:rPr>
            <w:webHidden/>
          </w:rPr>
          <w:instrText xml:space="preserve"> PAGEREF _Toc19196958 \h </w:instrText>
        </w:r>
        <w:r w:rsidR="005441DE">
          <w:rPr>
            <w:webHidden/>
          </w:rPr>
        </w:r>
        <w:r w:rsidR="005441DE">
          <w:rPr>
            <w:webHidden/>
          </w:rPr>
          <w:fldChar w:fldCharType="separate"/>
        </w:r>
        <w:r w:rsidR="005441DE">
          <w:rPr>
            <w:webHidden/>
          </w:rPr>
          <w:t>3</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59" w:history="1">
        <w:r w:rsidR="005441DE" w:rsidRPr="007D7875">
          <w:rPr>
            <w:rStyle w:val="Hyperlink"/>
            <w:bCs/>
          </w:rPr>
          <w:t>2</w:t>
        </w:r>
        <w:r w:rsidR="005441DE">
          <w:rPr>
            <w:rFonts w:asciiTheme="minorHAnsi" w:eastAsiaTheme="minorEastAsia" w:hAnsiTheme="minorHAnsi" w:cstheme="minorBidi"/>
            <w:sz w:val="22"/>
            <w:szCs w:val="22"/>
          </w:rPr>
          <w:tab/>
        </w:r>
        <w:r w:rsidR="005441DE" w:rsidRPr="007D7875">
          <w:rPr>
            <w:rStyle w:val="Hyperlink"/>
            <w:bCs/>
          </w:rPr>
          <w:t>LTEMP ROD Criteria and WAPA Operating Practices</w:t>
        </w:r>
        <w:r w:rsidR="005441DE">
          <w:rPr>
            <w:webHidden/>
          </w:rPr>
          <w:tab/>
        </w:r>
        <w:r w:rsidR="005441DE">
          <w:rPr>
            <w:webHidden/>
          </w:rPr>
          <w:fldChar w:fldCharType="begin"/>
        </w:r>
        <w:r w:rsidR="005441DE">
          <w:rPr>
            <w:webHidden/>
          </w:rPr>
          <w:instrText xml:space="preserve"> PAGEREF _Toc19196959 \h </w:instrText>
        </w:r>
        <w:r w:rsidR="005441DE">
          <w:rPr>
            <w:webHidden/>
          </w:rPr>
        </w:r>
        <w:r w:rsidR="005441DE">
          <w:rPr>
            <w:webHidden/>
          </w:rPr>
          <w:fldChar w:fldCharType="separate"/>
        </w:r>
        <w:r w:rsidR="005441DE">
          <w:rPr>
            <w:webHidden/>
          </w:rPr>
          <w:t>7</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60" w:history="1">
        <w:r w:rsidR="005441DE" w:rsidRPr="007D7875">
          <w:rPr>
            <w:rStyle w:val="Hyperlink"/>
          </w:rPr>
          <w:t>2.1</w:t>
        </w:r>
        <w:r w:rsidR="005441DE">
          <w:rPr>
            <w:rFonts w:asciiTheme="minorHAnsi" w:eastAsiaTheme="minorEastAsia" w:hAnsiTheme="minorHAnsi" w:cstheme="minorBidi"/>
            <w:sz w:val="22"/>
            <w:szCs w:val="22"/>
          </w:rPr>
          <w:tab/>
        </w:r>
        <w:r w:rsidR="005441DE" w:rsidRPr="007D7875">
          <w:rPr>
            <w:rStyle w:val="Hyperlink"/>
          </w:rPr>
          <w:t>Hourly and Daily Operating Criteria and Exceptions</w:t>
        </w:r>
        <w:r w:rsidR="005441DE">
          <w:rPr>
            <w:webHidden/>
          </w:rPr>
          <w:tab/>
        </w:r>
        <w:r w:rsidR="005441DE">
          <w:rPr>
            <w:webHidden/>
          </w:rPr>
          <w:fldChar w:fldCharType="begin"/>
        </w:r>
        <w:r w:rsidR="005441DE">
          <w:rPr>
            <w:webHidden/>
          </w:rPr>
          <w:instrText xml:space="preserve"> PAGEREF _Toc19196960 \h </w:instrText>
        </w:r>
        <w:r w:rsidR="005441DE">
          <w:rPr>
            <w:webHidden/>
          </w:rPr>
        </w:r>
        <w:r w:rsidR="005441DE">
          <w:rPr>
            <w:webHidden/>
          </w:rPr>
          <w:fldChar w:fldCharType="separate"/>
        </w:r>
        <w:r w:rsidR="005441DE">
          <w:rPr>
            <w:webHidden/>
          </w:rPr>
          <w:t>7</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61" w:history="1">
        <w:r w:rsidR="005441DE" w:rsidRPr="007D7875">
          <w:rPr>
            <w:rStyle w:val="Hyperlink"/>
          </w:rPr>
          <w:t>2.2</w:t>
        </w:r>
        <w:r w:rsidR="005441DE">
          <w:rPr>
            <w:rFonts w:asciiTheme="minorHAnsi" w:eastAsiaTheme="minorEastAsia" w:hAnsiTheme="minorHAnsi" w:cstheme="minorBidi"/>
            <w:sz w:val="22"/>
            <w:szCs w:val="22"/>
          </w:rPr>
          <w:tab/>
        </w:r>
        <w:r w:rsidR="005441DE" w:rsidRPr="007D7875">
          <w:rPr>
            <w:rStyle w:val="Hyperlink"/>
          </w:rPr>
          <w:t>Monthly Water Release Volumes</w:t>
        </w:r>
        <w:r w:rsidR="005441DE">
          <w:rPr>
            <w:webHidden/>
          </w:rPr>
          <w:tab/>
        </w:r>
        <w:r w:rsidR="005441DE">
          <w:rPr>
            <w:webHidden/>
          </w:rPr>
          <w:fldChar w:fldCharType="begin"/>
        </w:r>
        <w:r w:rsidR="005441DE">
          <w:rPr>
            <w:webHidden/>
          </w:rPr>
          <w:instrText xml:space="preserve"> PAGEREF _Toc19196961 \h </w:instrText>
        </w:r>
        <w:r w:rsidR="005441DE">
          <w:rPr>
            <w:webHidden/>
          </w:rPr>
        </w:r>
        <w:r w:rsidR="005441DE">
          <w:rPr>
            <w:webHidden/>
          </w:rPr>
          <w:fldChar w:fldCharType="separate"/>
        </w:r>
        <w:r w:rsidR="005441DE">
          <w:rPr>
            <w:webHidden/>
          </w:rPr>
          <w:t>8</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62" w:history="1">
        <w:r w:rsidR="005441DE" w:rsidRPr="007D7875">
          <w:rPr>
            <w:rStyle w:val="Hyperlink"/>
          </w:rPr>
          <w:t>2.3</w:t>
        </w:r>
        <w:r w:rsidR="005441DE">
          <w:rPr>
            <w:rFonts w:asciiTheme="minorHAnsi" w:eastAsiaTheme="minorEastAsia" w:hAnsiTheme="minorHAnsi" w:cstheme="minorBidi"/>
            <w:sz w:val="22"/>
            <w:szCs w:val="22"/>
          </w:rPr>
          <w:tab/>
        </w:r>
        <w:r w:rsidR="005441DE" w:rsidRPr="007D7875">
          <w:rPr>
            <w:rStyle w:val="Hyperlink"/>
          </w:rPr>
          <w:t>Montrose scheduling guidelines</w:t>
        </w:r>
        <w:r w:rsidR="005441DE">
          <w:rPr>
            <w:webHidden/>
          </w:rPr>
          <w:tab/>
        </w:r>
        <w:r w:rsidR="005441DE">
          <w:rPr>
            <w:webHidden/>
          </w:rPr>
          <w:fldChar w:fldCharType="begin"/>
        </w:r>
        <w:r w:rsidR="005441DE">
          <w:rPr>
            <w:webHidden/>
          </w:rPr>
          <w:instrText xml:space="preserve"> PAGEREF _Toc19196962 \h </w:instrText>
        </w:r>
        <w:r w:rsidR="005441DE">
          <w:rPr>
            <w:webHidden/>
          </w:rPr>
        </w:r>
        <w:r w:rsidR="005441DE">
          <w:rPr>
            <w:webHidden/>
          </w:rPr>
          <w:fldChar w:fldCharType="separate"/>
        </w:r>
        <w:r w:rsidR="005441DE">
          <w:rPr>
            <w:webHidden/>
          </w:rPr>
          <w:t>10</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63" w:history="1">
        <w:r w:rsidR="005441DE" w:rsidRPr="007D7875">
          <w:rPr>
            <w:rStyle w:val="Hyperlink"/>
            <w:bCs/>
          </w:rPr>
          <w:t>3</w:t>
        </w:r>
        <w:r w:rsidR="005441DE">
          <w:rPr>
            <w:rFonts w:asciiTheme="minorHAnsi" w:eastAsiaTheme="minorEastAsia" w:hAnsiTheme="minorHAnsi" w:cstheme="minorBidi"/>
            <w:sz w:val="22"/>
            <w:szCs w:val="22"/>
          </w:rPr>
          <w:tab/>
        </w:r>
        <w:r w:rsidR="005441DE" w:rsidRPr="007D7875">
          <w:rPr>
            <w:rStyle w:val="Hyperlink"/>
            <w:bCs/>
          </w:rPr>
          <w:t>Description of Experimental Releases</w:t>
        </w:r>
        <w:r w:rsidR="005441DE">
          <w:rPr>
            <w:webHidden/>
          </w:rPr>
          <w:tab/>
        </w:r>
        <w:r w:rsidR="005441DE">
          <w:rPr>
            <w:webHidden/>
          </w:rPr>
          <w:fldChar w:fldCharType="begin"/>
        </w:r>
        <w:r w:rsidR="005441DE">
          <w:rPr>
            <w:webHidden/>
          </w:rPr>
          <w:instrText xml:space="preserve"> PAGEREF _Toc19196963 \h </w:instrText>
        </w:r>
        <w:r w:rsidR="005441DE">
          <w:rPr>
            <w:webHidden/>
          </w:rPr>
        </w:r>
        <w:r w:rsidR="005441DE">
          <w:rPr>
            <w:webHidden/>
          </w:rPr>
          <w:fldChar w:fldCharType="separate"/>
        </w:r>
        <w:r w:rsidR="005441DE">
          <w:rPr>
            <w:webHidden/>
          </w:rPr>
          <w:t>13</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64" w:history="1">
        <w:r w:rsidR="005441DE" w:rsidRPr="007D7875">
          <w:rPr>
            <w:rStyle w:val="Hyperlink"/>
          </w:rPr>
          <w:t>3.1</w:t>
        </w:r>
        <w:r w:rsidR="005441DE">
          <w:rPr>
            <w:rFonts w:asciiTheme="minorHAnsi" w:eastAsiaTheme="minorEastAsia" w:hAnsiTheme="minorHAnsi" w:cstheme="minorBidi"/>
            <w:sz w:val="22"/>
            <w:szCs w:val="22"/>
          </w:rPr>
          <w:tab/>
        </w:r>
        <w:r w:rsidR="005441DE" w:rsidRPr="007D7875">
          <w:rPr>
            <w:rStyle w:val="Hyperlink"/>
          </w:rPr>
          <w:t>HFE</w:t>
        </w:r>
        <w:r w:rsidR="005441DE">
          <w:rPr>
            <w:webHidden/>
          </w:rPr>
          <w:tab/>
        </w:r>
        <w:r w:rsidR="005441DE">
          <w:rPr>
            <w:webHidden/>
          </w:rPr>
          <w:fldChar w:fldCharType="begin"/>
        </w:r>
        <w:r w:rsidR="005441DE">
          <w:rPr>
            <w:webHidden/>
          </w:rPr>
          <w:instrText xml:space="preserve"> PAGEREF _Toc19196964 \h </w:instrText>
        </w:r>
        <w:r w:rsidR="005441DE">
          <w:rPr>
            <w:webHidden/>
          </w:rPr>
        </w:r>
        <w:r w:rsidR="005441DE">
          <w:rPr>
            <w:webHidden/>
          </w:rPr>
          <w:fldChar w:fldCharType="separate"/>
        </w:r>
        <w:r w:rsidR="005441DE">
          <w:rPr>
            <w:webHidden/>
          </w:rPr>
          <w:t>13</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65" w:history="1">
        <w:r w:rsidR="005441DE" w:rsidRPr="007D7875">
          <w:rPr>
            <w:rStyle w:val="Hyperlink"/>
          </w:rPr>
          <w:t>3.2</w:t>
        </w:r>
        <w:r w:rsidR="005441DE">
          <w:rPr>
            <w:rFonts w:asciiTheme="minorHAnsi" w:eastAsiaTheme="minorEastAsia" w:hAnsiTheme="minorHAnsi" w:cstheme="minorBidi"/>
            <w:sz w:val="22"/>
            <w:szCs w:val="22"/>
          </w:rPr>
          <w:tab/>
        </w:r>
        <w:r w:rsidR="005441DE" w:rsidRPr="007D7875">
          <w:rPr>
            <w:rStyle w:val="Hyperlink"/>
          </w:rPr>
          <w:t>Bug Flow experiment</w:t>
        </w:r>
        <w:r w:rsidR="005441DE">
          <w:rPr>
            <w:webHidden/>
          </w:rPr>
          <w:tab/>
        </w:r>
        <w:r w:rsidR="005441DE">
          <w:rPr>
            <w:webHidden/>
          </w:rPr>
          <w:fldChar w:fldCharType="begin"/>
        </w:r>
        <w:r w:rsidR="005441DE">
          <w:rPr>
            <w:webHidden/>
          </w:rPr>
          <w:instrText xml:space="preserve"> PAGEREF _Toc19196965 \h </w:instrText>
        </w:r>
        <w:r w:rsidR="005441DE">
          <w:rPr>
            <w:webHidden/>
          </w:rPr>
        </w:r>
        <w:r w:rsidR="005441DE">
          <w:rPr>
            <w:webHidden/>
          </w:rPr>
          <w:fldChar w:fldCharType="separate"/>
        </w:r>
        <w:r w:rsidR="005441DE">
          <w:rPr>
            <w:webHidden/>
          </w:rPr>
          <w:t>14</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66" w:history="1">
        <w:r w:rsidR="005441DE" w:rsidRPr="007D7875">
          <w:rPr>
            <w:rStyle w:val="Hyperlink"/>
            <w:bCs/>
          </w:rPr>
          <w:t>4</w:t>
        </w:r>
        <w:r w:rsidR="005441DE">
          <w:rPr>
            <w:rFonts w:asciiTheme="minorHAnsi" w:eastAsiaTheme="minorEastAsia" w:hAnsiTheme="minorHAnsi" w:cstheme="minorBidi"/>
            <w:sz w:val="22"/>
            <w:szCs w:val="22"/>
          </w:rPr>
          <w:tab/>
        </w:r>
        <w:r w:rsidR="005441DE" w:rsidRPr="007D7875">
          <w:rPr>
            <w:rStyle w:val="Hyperlink"/>
            <w:bCs/>
          </w:rPr>
          <w:t>Methods and Models</w:t>
        </w:r>
        <w:r w:rsidR="005441DE">
          <w:rPr>
            <w:webHidden/>
          </w:rPr>
          <w:tab/>
        </w:r>
        <w:r w:rsidR="005441DE">
          <w:rPr>
            <w:webHidden/>
          </w:rPr>
          <w:fldChar w:fldCharType="begin"/>
        </w:r>
        <w:r w:rsidR="005441DE">
          <w:rPr>
            <w:webHidden/>
          </w:rPr>
          <w:instrText xml:space="preserve"> PAGEREF _Toc19196966 \h </w:instrText>
        </w:r>
        <w:r w:rsidR="005441DE">
          <w:rPr>
            <w:webHidden/>
          </w:rPr>
        </w:r>
        <w:r w:rsidR="005441DE">
          <w:rPr>
            <w:webHidden/>
          </w:rPr>
          <w:fldChar w:fldCharType="separate"/>
        </w:r>
        <w:r w:rsidR="005441DE">
          <w:rPr>
            <w:webHidden/>
          </w:rPr>
          <w:t>17</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67" w:history="1">
        <w:r w:rsidR="005441DE" w:rsidRPr="007D7875">
          <w:rPr>
            <w:rStyle w:val="Hyperlink"/>
          </w:rPr>
          <w:t>4.1</w:t>
        </w:r>
        <w:r w:rsidR="005441DE">
          <w:rPr>
            <w:rFonts w:asciiTheme="minorHAnsi" w:eastAsiaTheme="minorEastAsia" w:hAnsiTheme="minorHAnsi" w:cstheme="minorBidi"/>
            <w:sz w:val="22"/>
            <w:szCs w:val="22"/>
          </w:rPr>
          <w:tab/>
        </w:r>
        <w:r w:rsidR="005441DE" w:rsidRPr="007D7875">
          <w:rPr>
            <w:rStyle w:val="Hyperlink"/>
          </w:rPr>
          <w:t>GTMax SL Input Data for the GCD Reservoir and Powerplant</w:t>
        </w:r>
        <w:r w:rsidR="005441DE">
          <w:rPr>
            <w:webHidden/>
          </w:rPr>
          <w:tab/>
        </w:r>
        <w:r w:rsidR="005441DE">
          <w:rPr>
            <w:webHidden/>
          </w:rPr>
          <w:fldChar w:fldCharType="begin"/>
        </w:r>
        <w:r w:rsidR="005441DE">
          <w:rPr>
            <w:webHidden/>
          </w:rPr>
          <w:instrText xml:space="preserve"> PAGEREF _Toc19196967 \h </w:instrText>
        </w:r>
        <w:r w:rsidR="005441DE">
          <w:rPr>
            <w:webHidden/>
          </w:rPr>
        </w:r>
        <w:r w:rsidR="005441DE">
          <w:rPr>
            <w:webHidden/>
          </w:rPr>
          <w:fldChar w:fldCharType="separate"/>
        </w:r>
        <w:r w:rsidR="005441DE">
          <w:rPr>
            <w:webHidden/>
          </w:rPr>
          <w:t>18</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68" w:history="1">
        <w:r w:rsidR="005441DE" w:rsidRPr="007D7875">
          <w:rPr>
            <w:rStyle w:val="Hyperlink"/>
          </w:rPr>
          <w:t>4.2</w:t>
        </w:r>
        <w:r w:rsidR="005441DE">
          <w:rPr>
            <w:rFonts w:asciiTheme="minorHAnsi" w:eastAsiaTheme="minorEastAsia" w:hAnsiTheme="minorHAnsi" w:cstheme="minorBidi"/>
            <w:sz w:val="22"/>
            <w:szCs w:val="22"/>
          </w:rPr>
          <w:tab/>
        </w:r>
        <w:r w:rsidR="005441DE" w:rsidRPr="007D7875">
          <w:rPr>
            <w:rStyle w:val="Hyperlink"/>
          </w:rPr>
          <w:t>Model Input Data for Other SLCA/IP Supply Resources</w:t>
        </w:r>
        <w:r w:rsidR="005441DE">
          <w:rPr>
            <w:webHidden/>
          </w:rPr>
          <w:tab/>
        </w:r>
        <w:r w:rsidR="005441DE">
          <w:rPr>
            <w:webHidden/>
          </w:rPr>
          <w:fldChar w:fldCharType="begin"/>
        </w:r>
        <w:r w:rsidR="005441DE">
          <w:rPr>
            <w:webHidden/>
          </w:rPr>
          <w:instrText xml:space="preserve"> PAGEREF _Toc19196968 \h </w:instrText>
        </w:r>
        <w:r w:rsidR="005441DE">
          <w:rPr>
            <w:webHidden/>
          </w:rPr>
        </w:r>
        <w:r w:rsidR="005441DE">
          <w:rPr>
            <w:webHidden/>
          </w:rPr>
          <w:fldChar w:fldCharType="separate"/>
        </w:r>
        <w:r w:rsidR="005441DE">
          <w:rPr>
            <w:webHidden/>
          </w:rPr>
          <w:t>21</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69" w:history="1">
        <w:r w:rsidR="005441DE" w:rsidRPr="007D7875">
          <w:rPr>
            <w:rStyle w:val="Hyperlink"/>
          </w:rPr>
          <w:t>4.3</w:t>
        </w:r>
        <w:r w:rsidR="005441DE">
          <w:rPr>
            <w:rFonts w:asciiTheme="minorHAnsi" w:eastAsiaTheme="minorEastAsia" w:hAnsiTheme="minorHAnsi" w:cstheme="minorBidi"/>
            <w:sz w:val="22"/>
            <w:szCs w:val="22"/>
          </w:rPr>
          <w:tab/>
        </w:r>
        <w:r w:rsidR="005441DE" w:rsidRPr="007D7875">
          <w:rPr>
            <w:rStyle w:val="Hyperlink"/>
          </w:rPr>
          <w:t>Model Input Data for Loads</w:t>
        </w:r>
        <w:r w:rsidR="005441DE">
          <w:rPr>
            <w:webHidden/>
          </w:rPr>
          <w:tab/>
        </w:r>
        <w:r w:rsidR="005441DE">
          <w:rPr>
            <w:webHidden/>
          </w:rPr>
          <w:fldChar w:fldCharType="begin"/>
        </w:r>
        <w:r w:rsidR="005441DE">
          <w:rPr>
            <w:webHidden/>
          </w:rPr>
          <w:instrText xml:space="preserve"> PAGEREF _Toc19196969 \h </w:instrText>
        </w:r>
        <w:r w:rsidR="005441DE">
          <w:rPr>
            <w:webHidden/>
          </w:rPr>
        </w:r>
        <w:r w:rsidR="005441DE">
          <w:rPr>
            <w:webHidden/>
          </w:rPr>
          <w:fldChar w:fldCharType="separate"/>
        </w:r>
        <w:r w:rsidR="005441DE">
          <w:rPr>
            <w:webHidden/>
          </w:rPr>
          <w:t>21</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70" w:history="1">
        <w:r w:rsidR="005441DE" w:rsidRPr="007D7875">
          <w:rPr>
            <w:rStyle w:val="Hyperlink"/>
          </w:rPr>
          <w:t>4.4</w:t>
        </w:r>
        <w:r w:rsidR="005441DE">
          <w:rPr>
            <w:rFonts w:asciiTheme="minorHAnsi" w:eastAsiaTheme="minorEastAsia" w:hAnsiTheme="minorHAnsi" w:cstheme="minorBidi"/>
            <w:sz w:val="22"/>
            <w:szCs w:val="22"/>
          </w:rPr>
          <w:tab/>
        </w:r>
        <w:r w:rsidR="005441DE" w:rsidRPr="007D7875">
          <w:rPr>
            <w:rStyle w:val="Hyperlink"/>
          </w:rPr>
          <w:t>Model Input Data for Market Prices</w:t>
        </w:r>
        <w:r w:rsidR="005441DE">
          <w:rPr>
            <w:webHidden/>
          </w:rPr>
          <w:tab/>
        </w:r>
        <w:r w:rsidR="005441DE">
          <w:rPr>
            <w:webHidden/>
          </w:rPr>
          <w:fldChar w:fldCharType="begin"/>
        </w:r>
        <w:r w:rsidR="005441DE">
          <w:rPr>
            <w:webHidden/>
          </w:rPr>
          <w:instrText xml:space="preserve"> PAGEREF _Toc19196970 \h </w:instrText>
        </w:r>
        <w:r w:rsidR="005441DE">
          <w:rPr>
            <w:webHidden/>
          </w:rPr>
        </w:r>
        <w:r w:rsidR="005441DE">
          <w:rPr>
            <w:webHidden/>
          </w:rPr>
          <w:fldChar w:fldCharType="separate"/>
        </w:r>
        <w:r w:rsidR="005441DE">
          <w:rPr>
            <w:webHidden/>
          </w:rPr>
          <w:t>22</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71" w:history="1">
        <w:r w:rsidR="005441DE" w:rsidRPr="007D7875">
          <w:rPr>
            <w:rStyle w:val="Hyperlink"/>
            <w:bCs/>
          </w:rPr>
          <w:t>5</w:t>
        </w:r>
        <w:r w:rsidR="005441DE">
          <w:rPr>
            <w:rFonts w:asciiTheme="minorHAnsi" w:eastAsiaTheme="minorEastAsia" w:hAnsiTheme="minorHAnsi" w:cstheme="minorBidi"/>
            <w:sz w:val="22"/>
            <w:szCs w:val="22"/>
          </w:rPr>
          <w:tab/>
        </w:r>
        <w:r w:rsidR="005441DE" w:rsidRPr="007D7875">
          <w:rPr>
            <w:rStyle w:val="Hyperlink"/>
            <w:bCs/>
          </w:rPr>
          <w:t>Cost of Experiment in WY 2019</w:t>
        </w:r>
        <w:r w:rsidR="005441DE">
          <w:rPr>
            <w:webHidden/>
          </w:rPr>
          <w:tab/>
        </w:r>
        <w:r w:rsidR="005441DE">
          <w:rPr>
            <w:webHidden/>
          </w:rPr>
          <w:fldChar w:fldCharType="begin"/>
        </w:r>
        <w:r w:rsidR="005441DE">
          <w:rPr>
            <w:webHidden/>
          </w:rPr>
          <w:instrText xml:space="preserve"> PAGEREF _Toc19196971 \h </w:instrText>
        </w:r>
        <w:r w:rsidR="005441DE">
          <w:rPr>
            <w:webHidden/>
          </w:rPr>
        </w:r>
        <w:r w:rsidR="005441DE">
          <w:rPr>
            <w:webHidden/>
          </w:rPr>
          <w:fldChar w:fldCharType="separate"/>
        </w:r>
        <w:r w:rsidR="005441DE">
          <w:rPr>
            <w:webHidden/>
          </w:rPr>
          <w:t>23</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72" w:history="1">
        <w:r w:rsidR="005441DE" w:rsidRPr="007D7875">
          <w:rPr>
            <w:rStyle w:val="Hyperlink"/>
          </w:rPr>
          <w:t>5.1</w:t>
        </w:r>
        <w:r w:rsidR="005441DE">
          <w:rPr>
            <w:rFonts w:asciiTheme="minorHAnsi" w:eastAsiaTheme="minorEastAsia" w:hAnsiTheme="minorHAnsi" w:cstheme="minorBidi"/>
            <w:sz w:val="22"/>
            <w:szCs w:val="22"/>
          </w:rPr>
          <w:tab/>
        </w:r>
        <w:r w:rsidR="005441DE" w:rsidRPr="007D7875">
          <w:rPr>
            <w:rStyle w:val="Hyperlink"/>
          </w:rPr>
          <w:t>Generation Profile at GCD: From a Typical Week to an Entire Month</w:t>
        </w:r>
        <w:r w:rsidR="005441DE">
          <w:rPr>
            <w:webHidden/>
          </w:rPr>
          <w:tab/>
        </w:r>
        <w:r w:rsidR="005441DE">
          <w:rPr>
            <w:webHidden/>
          </w:rPr>
          <w:fldChar w:fldCharType="begin"/>
        </w:r>
        <w:r w:rsidR="005441DE">
          <w:rPr>
            <w:webHidden/>
          </w:rPr>
          <w:instrText xml:space="preserve"> PAGEREF _Toc19196972 \h </w:instrText>
        </w:r>
        <w:r w:rsidR="005441DE">
          <w:rPr>
            <w:webHidden/>
          </w:rPr>
        </w:r>
        <w:r w:rsidR="005441DE">
          <w:rPr>
            <w:webHidden/>
          </w:rPr>
          <w:fldChar w:fldCharType="separate"/>
        </w:r>
        <w:r w:rsidR="005441DE">
          <w:rPr>
            <w:webHidden/>
          </w:rPr>
          <w:t>24</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73" w:history="1">
        <w:r w:rsidR="005441DE" w:rsidRPr="007D7875">
          <w:rPr>
            <w:rStyle w:val="Hyperlink"/>
          </w:rPr>
          <w:t>5.2</w:t>
        </w:r>
        <w:r w:rsidR="005441DE">
          <w:rPr>
            <w:rFonts w:asciiTheme="minorHAnsi" w:eastAsiaTheme="minorEastAsia" w:hAnsiTheme="minorHAnsi" w:cstheme="minorBidi"/>
            <w:sz w:val="22"/>
            <w:szCs w:val="22"/>
          </w:rPr>
          <w:tab/>
        </w:r>
        <w:r w:rsidR="005441DE" w:rsidRPr="007D7875">
          <w:rPr>
            <w:rStyle w:val="Hyperlink"/>
          </w:rPr>
          <w:t>Energy Purchased and Energy Sold Profiles</w:t>
        </w:r>
        <w:r w:rsidR="005441DE">
          <w:rPr>
            <w:webHidden/>
          </w:rPr>
          <w:tab/>
        </w:r>
        <w:r w:rsidR="005441DE">
          <w:rPr>
            <w:webHidden/>
          </w:rPr>
          <w:fldChar w:fldCharType="begin"/>
        </w:r>
        <w:r w:rsidR="005441DE">
          <w:rPr>
            <w:webHidden/>
          </w:rPr>
          <w:instrText xml:space="preserve"> PAGEREF _Toc19196973 \h </w:instrText>
        </w:r>
        <w:r w:rsidR="005441DE">
          <w:rPr>
            <w:webHidden/>
          </w:rPr>
        </w:r>
        <w:r w:rsidR="005441DE">
          <w:rPr>
            <w:webHidden/>
          </w:rPr>
          <w:fldChar w:fldCharType="separate"/>
        </w:r>
        <w:r w:rsidR="005441DE">
          <w:rPr>
            <w:webHidden/>
          </w:rPr>
          <w:t>24</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74" w:history="1">
        <w:r w:rsidR="005441DE" w:rsidRPr="007D7875">
          <w:rPr>
            <w:rStyle w:val="Hyperlink"/>
          </w:rPr>
          <w:t>5.3</w:t>
        </w:r>
        <w:r w:rsidR="005441DE">
          <w:rPr>
            <w:rFonts w:asciiTheme="minorHAnsi" w:eastAsiaTheme="minorEastAsia" w:hAnsiTheme="minorHAnsi" w:cstheme="minorBidi"/>
            <w:sz w:val="22"/>
            <w:szCs w:val="22"/>
          </w:rPr>
          <w:tab/>
        </w:r>
        <w:r w:rsidR="005441DE" w:rsidRPr="007D7875">
          <w:rPr>
            <w:rStyle w:val="Hyperlink"/>
          </w:rPr>
          <w:t>Purchase and Sale Price Profiles</w:t>
        </w:r>
        <w:r w:rsidR="005441DE">
          <w:rPr>
            <w:webHidden/>
          </w:rPr>
          <w:tab/>
        </w:r>
        <w:r w:rsidR="005441DE">
          <w:rPr>
            <w:webHidden/>
          </w:rPr>
          <w:fldChar w:fldCharType="begin"/>
        </w:r>
        <w:r w:rsidR="005441DE">
          <w:rPr>
            <w:webHidden/>
          </w:rPr>
          <w:instrText xml:space="preserve"> PAGEREF _Toc19196974 \h </w:instrText>
        </w:r>
        <w:r w:rsidR="005441DE">
          <w:rPr>
            <w:webHidden/>
          </w:rPr>
        </w:r>
        <w:r w:rsidR="005441DE">
          <w:rPr>
            <w:webHidden/>
          </w:rPr>
          <w:fldChar w:fldCharType="separate"/>
        </w:r>
        <w:r w:rsidR="005441DE">
          <w:rPr>
            <w:webHidden/>
          </w:rPr>
          <w:t>24</w:t>
        </w:r>
        <w:r w:rsidR="005441DE">
          <w:rPr>
            <w:webHidden/>
          </w:rPr>
          <w:fldChar w:fldCharType="end"/>
        </w:r>
      </w:hyperlink>
    </w:p>
    <w:p w:rsidR="005441DE" w:rsidRDefault="00CE27EE">
      <w:pPr>
        <w:pStyle w:val="TOC2"/>
        <w:rPr>
          <w:rFonts w:asciiTheme="minorHAnsi" w:eastAsiaTheme="minorEastAsia" w:hAnsiTheme="minorHAnsi" w:cstheme="minorBidi"/>
          <w:sz w:val="22"/>
          <w:szCs w:val="22"/>
        </w:rPr>
      </w:pPr>
      <w:hyperlink w:anchor="_Toc19196975" w:history="1">
        <w:r w:rsidR="005441DE" w:rsidRPr="007D7875">
          <w:rPr>
            <w:rStyle w:val="Hyperlink"/>
          </w:rPr>
          <w:t>5.4</w:t>
        </w:r>
        <w:r w:rsidR="005441DE">
          <w:rPr>
            <w:rFonts w:asciiTheme="minorHAnsi" w:eastAsiaTheme="minorEastAsia" w:hAnsiTheme="minorHAnsi" w:cstheme="minorBidi"/>
            <w:sz w:val="22"/>
            <w:szCs w:val="22"/>
          </w:rPr>
          <w:tab/>
        </w:r>
        <w:r w:rsidR="005441DE" w:rsidRPr="007D7875">
          <w:rPr>
            <w:rStyle w:val="Hyperlink"/>
          </w:rPr>
          <w:t>Net Energy Revenues from Energy Transactions</w:t>
        </w:r>
        <w:r w:rsidR="005441DE">
          <w:rPr>
            <w:webHidden/>
          </w:rPr>
          <w:tab/>
        </w:r>
        <w:r w:rsidR="005441DE">
          <w:rPr>
            <w:webHidden/>
          </w:rPr>
          <w:fldChar w:fldCharType="begin"/>
        </w:r>
        <w:r w:rsidR="005441DE">
          <w:rPr>
            <w:webHidden/>
          </w:rPr>
          <w:instrText xml:space="preserve"> PAGEREF _Toc19196975 \h </w:instrText>
        </w:r>
        <w:r w:rsidR="005441DE">
          <w:rPr>
            <w:webHidden/>
          </w:rPr>
        </w:r>
        <w:r w:rsidR="005441DE">
          <w:rPr>
            <w:webHidden/>
          </w:rPr>
          <w:fldChar w:fldCharType="separate"/>
        </w:r>
        <w:r w:rsidR="005441DE">
          <w:rPr>
            <w:webHidden/>
          </w:rPr>
          <w:t>25</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76" w:history="1">
        <w:r w:rsidR="005441DE" w:rsidRPr="007D7875">
          <w:rPr>
            <w:rStyle w:val="Hyperlink"/>
            <w:bCs/>
          </w:rPr>
          <w:t>6</w:t>
        </w:r>
        <w:r w:rsidR="005441DE">
          <w:rPr>
            <w:rFonts w:asciiTheme="minorHAnsi" w:eastAsiaTheme="minorEastAsia" w:hAnsiTheme="minorHAnsi" w:cstheme="minorBidi"/>
            <w:sz w:val="22"/>
            <w:szCs w:val="22"/>
          </w:rPr>
          <w:tab/>
        </w:r>
        <w:r w:rsidR="005441DE" w:rsidRPr="007D7875">
          <w:rPr>
            <w:rStyle w:val="Hyperlink"/>
            <w:bCs/>
          </w:rPr>
          <w:t>References</w:t>
        </w:r>
        <w:r w:rsidR="005441DE">
          <w:rPr>
            <w:webHidden/>
          </w:rPr>
          <w:tab/>
        </w:r>
        <w:r w:rsidR="005441DE">
          <w:rPr>
            <w:webHidden/>
          </w:rPr>
          <w:fldChar w:fldCharType="begin"/>
        </w:r>
        <w:r w:rsidR="005441DE">
          <w:rPr>
            <w:webHidden/>
          </w:rPr>
          <w:instrText xml:space="preserve"> PAGEREF _Toc19196976 \h </w:instrText>
        </w:r>
        <w:r w:rsidR="005441DE">
          <w:rPr>
            <w:webHidden/>
          </w:rPr>
        </w:r>
        <w:r w:rsidR="005441DE">
          <w:rPr>
            <w:webHidden/>
          </w:rPr>
          <w:fldChar w:fldCharType="separate"/>
        </w:r>
        <w:r w:rsidR="005441DE">
          <w:rPr>
            <w:webHidden/>
          </w:rPr>
          <w:t>29</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77" w:history="1">
        <w:r w:rsidR="005441DE" w:rsidRPr="007D7875">
          <w:rPr>
            <w:rStyle w:val="Hyperlink"/>
            <w:bCs/>
          </w:rPr>
          <w:t>Appendix A: Comparison between Planned and Historical Water Releases</w:t>
        </w:r>
        <w:r w:rsidR="005441DE">
          <w:rPr>
            <w:webHidden/>
          </w:rPr>
          <w:tab/>
          <w:t>A-</w:t>
        </w:r>
        <w:r w:rsidR="005441DE">
          <w:rPr>
            <w:webHidden/>
          </w:rPr>
          <w:fldChar w:fldCharType="begin"/>
        </w:r>
        <w:r w:rsidR="005441DE">
          <w:rPr>
            <w:webHidden/>
          </w:rPr>
          <w:instrText xml:space="preserve"> PAGEREF _Toc19196977 \h </w:instrText>
        </w:r>
        <w:r w:rsidR="005441DE">
          <w:rPr>
            <w:webHidden/>
          </w:rPr>
        </w:r>
        <w:r w:rsidR="005441DE">
          <w:rPr>
            <w:webHidden/>
          </w:rPr>
          <w:fldChar w:fldCharType="separate"/>
        </w:r>
        <w:r w:rsidR="005441DE">
          <w:rPr>
            <w:webHidden/>
          </w:rPr>
          <w:t>1</w:t>
        </w:r>
        <w:r w:rsidR="005441DE">
          <w:rPr>
            <w:webHidden/>
          </w:rPr>
          <w:fldChar w:fldCharType="end"/>
        </w:r>
      </w:hyperlink>
    </w:p>
    <w:p w:rsidR="005441DE" w:rsidRDefault="00CE27EE">
      <w:pPr>
        <w:pStyle w:val="TOC1"/>
        <w:rPr>
          <w:rFonts w:asciiTheme="minorHAnsi" w:eastAsiaTheme="minorEastAsia" w:hAnsiTheme="minorHAnsi" w:cstheme="minorBidi"/>
          <w:sz w:val="22"/>
          <w:szCs w:val="22"/>
        </w:rPr>
      </w:pPr>
      <w:hyperlink w:anchor="_Toc19196978" w:history="1">
        <w:r w:rsidR="005441DE" w:rsidRPr="007D7875">
          <w:rPr>
            <w:rStyle w:val="Hyperlink"/>
            <w:bCs/>
          </w:rPr>
          <w:t>Appendix B: GTMax SL Simulations for Water Year 2019: Aggregated Demand and Supply (Other than GCD) Profiles</w:t>
        </w:r>
        <w:r w:rsidR="005441DE">
          <w:rPr>
            <w:webHidden/>
          </w:rPr>
          <w:tab/>
          <w:t>B-</w:t>
        </w:r>
        <w:r w:rsidR="005441DE">
          <w:rPr>
            <w:webHidden/>
          </w:rPr>
          <w:fldChar w:fldCharType="begin"/>
        </w:r>
        <w:r w:rsidR="005441DE">
          <w:rPr>
            <w:webHidden/>
          </w:rPr>
          <w:instrText xml:space="preserve"> PAGEREF _Toc19196978 \h </w:instrText>
        </w:r>
        <w:r w:rsidR="005441DE">
          <w:rPr>
            <w:webHidden/>
          </w:rPr>
        </w:r>
        <w:r w:rsidR="005441DE">
          <w:rPr>
            <w:webHidden/>
          </w:rPr>
          <w:fldChar w:fldCharType="separate"/>
        </w:r>
        <w:r w:rsidR="005441DE">
          <w:rPr>
            <w:webHidden/>
          </w:rPr>
          <w:t>1</w:t>
        </w:r>
        <w:r w:rsidR="005441DE">
          <w:rPr>
            <w:webHidden/>
          </w:rPr>
          <w:fldChar w:fldCharType="end"/>
        </w:r>
      </w:hyperlink>
    </w:p>
    <w:p w:rsidR="005B07C7" w:rsidRPr="007612DC" w:rsidRDefault="005B07C7" w:rsidP="005B07C7">
      <w:pPr>
        <w:ind w:firstLine="720"/>
      </w:pPr>
      <w:r>
        <w:rPr>
          <w:b/>
        </w:rPr>
        <w:fldChar w:fldCharType="end"/>
      </w:r>
    </w:p>
    <w:p w:rsidR="005B07C7" w:rsidRDefault="005B07C7" w:rsidP="005B07C7">
      <w:pPr>
        <w:pStyle w:val="Heading1"/>
        <w:numPr>
          <w:ilvl w:val="0"/>
          <w:numId w:val="0"/>
        </w:numPr>
      </w:pPr>
      <w:bookmarkStart w:id="3" w:name="_Toc469977148"/>
      <w:r>
        <w:br w:type="page"/>
      </w:r>
      <w:bookmarkStart w:id="4" w:name="_Toc19196953"/>
      <w:r>
        <w:t>L</w:t>
      </w:r>
      <w:r w:rsidR="003100CE">
        <w:t>ist of Figures</w:t>
      </w:r>
      <w:bookmarkEnd w:id="4"/>
    </w:p>
    <w:p w:rsidR="005B07C7" w:rsidRDefault="005B07C7" w:rsidP="005B07C7">
      <w:pPr>
        <w:jc w:val="center"/>
        <w:rPr>
          <w:b/>
        </w:rPr>
      </w:pPr>
    </w:p>
    <w:p w:rsidR="005441DE" w:rsidRDefault="005B07C7">
      <w:pPr>
        <w:pStyle w:val="TableofFigures"/>
        <w:tabs>
          <w:tab w:val="right" w:leader="dot" w:pos="9350"/>
        </w:tabs>
        <w:rPr>
          <w:rFonts w:asciiTheme="minorHAnsi" w:eastAsiaTheme="minorEastAsia" w:hAnsiTheme="minorHAnsi" w:cstheme="minorBidi"/>
          <w:noProof/>
          <w:sz w:val="22"/>
          <w:szCs w:val="22"/>
        </w:rPr>
      </w:pPr>
      <w:r>
        <w:rPr>
          <w:b/>
        </w:rPr>
        <w:fldChar w:fldCharType="begin"/>
      </w:r>
      <w:r>
        <w:rPr>
          <w:b/>
        </w:rPr>
        <w:instrText xml:space="preserve"> TOC \h \z \c "Figure" </w:instrText>
      </w:r>
      <w:r>
        <w:rPr>
          <w:b/>
        </w:rPr>
        <w:fldChar w:fldCharType="separate"/>
      </w:r>
      <w:hyperlink r:id="rId20" w:anchor="_Toc19196926" w:history="1">
        <w:r w:rsidR="005441DE" w:rsidRPr="003A5C8B">
          <w:rPr>
            <w:rStyle w:val="Hyperlink"/>
            <w:noProof/>
          </w:rPr>
          <w:t>Figure 2</w:t>
        </w:r>
        <w:r w:rsidR="005441DE" w:rsidRPr="003A5C8B">
          <w:rPr>
            <w:rStyle w:val="Hyperlink"/>
            <w:noProof/>
          </w:rPr>
          <w:noBreakHyphen/>
          <w:t>1 Illustration of the firm-load-driven dispatch guideline  when SLCA/IP resources are short of load</w:t>
        </w:r>
        <w:r w:rsidR="005441DE">
          <w:rPr>
            <w:noProof/>
            <w:webHidden/>
          </w:rPr>
          <w:tab/>
        </w:r>
        <w:r w:rsidR="005441DE">
          <w:rPr>
            <w:noProof/>
            <w:webHidden/>
          </w:rPr>
          <w:fldChar w:fldCharType="begin"/>
        </w:r>
        <w:r w:rsidR="005441DE">
          <w:rPr>
            <w:noProof/>
            <w:webHidden/>
          </w:rPr>
          <w:instrText xml:space="preserve"> PAGEREF _Toc19196926 \h </w:instrText>
        </w:r>
        <w:r w:rsidR="005441DE">
          <w:rPr>
            <w:noProof/>
            <w:webHidden/>
          </w:rPr>
        </w:r>
        <w:r w:rsidR="005441DE">
          <w:rPr>
            <w:noProof/>
            <w:webHidden/>
          </w:rPr>
          <w:fldChar w:fldCharType="separate"/>
        </w:r>
        <w:r w:rsidR="005441DE">
          <w:rPr>
            <w:noProof/>
            <w:webHidden/>
          </w:rPr>
          <w:t>11</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r:id="rId21" w:anchor="_Toc19196927" w:history="1">
        <w:r w:rsidR="005441DE" w:rsidRPr="003A5C8B">
          <w:rPr>
            <w:rStyle w:val="Hyperlink"/>
            <w:noProof/>
          </w:rPr>
          <w:t>Figure 3</w:t>
        </w:r>
        <w:r w:rsidR="005441DE" w:rsidRPr="003A5C8B">
          <w:rPr>
            <w:rStyle w:val="Hyperlink"/>
            <w:noProof/>
          </w:rPr>
          <w:noBreakHyphen/>
          <w:t>1 Release pattern of the HFE conducted in November, 5-8, 2018</w:t>
        </w:r>
        <w:r w:rsidR="005441DE">
          <w:rPr>
            <w:noProof/>
            <w:webHidden/>
          </w:rPr>
          <w:tab/>
        </w:r>
        <w:r w:rsidR="005441DE">
          <w:rPr>
            <w:noProof/>
            <w:webHidden/>
          </w:rPr>
          <w:fldChar w:fldCharType="begin"/>
        </w:r>
        <w:r w:rsidR="005441DE">
          <w:rPr>
            <w:noProof/>
            <w:webHidden/>
          </w:rPr>
          <w:instrText xml:space="preserve"> PAGEREF _Toc19196927 \h </w:instrText>
        </w:r>
        <w:r w:rsidR="005441DE">
          <w:rPr>
            <w:noProof/>
            <w:webHidden/>
          </w:rPr>
        </w:r>
        <w:r w:rsidR="005441DE">
          <w:rPr>
            <w:noProof/>
            <w:webHidden/>
          </w:rPr>
          <w:fldChar w:fldCharType="separate"/>
        </w:r>
        <w:r w:rsidR="005441DE">
          <w:rPr>
            <w:noProof/>
            <w:webHidden/>
          </w:rPr>
          <w:t>14</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w:anchor="_Toc19196928" w:history="1">
        <w:r w:rsidR="005441DE" w:rsidRPr="003A5C8B">
          <w:rPr>
            <w:rStyle w:val="Hyperlink"/>
            <w:noProof/>
          </w:rPr>
          <w:t>Figure 3</w:t>
        </w:r>
        <w:r w:rsidR="005441DE" w:rsidRPr="003A5C8B">
          <w:rPr>
            <w:rStyle w:val="Hyperlink"/>
            <w:noProof/>
          </w:rPr>
          <w:noBreakHyphen/>
          <w:t>2 Typical week release pattern of the Bug Flow experiment in May 2019</w:t>
        </w:r>
        <w:r w:rsidR="005441DE">
          <w:rPr>
            <w:noProof/>
            <w:webHidden/>
          </w:rPr>
          <w:tab/>
        </w:r>
        <w:r w:rsidR="005441DE">
          <w:rPr>
            <w:noProof/>
            <w:webHidden/>
          </w:rPr>
          <w:fldChar w:fldCharType="begin"/>
        </w:r>
        <w:r w:rsidR="005441DE">
          <w:rPr>
            <w:noProof/>
            <w:webHidden/>
          </w:rPr>
          <w:instrText xml:space="preserve"> PAGEREF _Toc19196928 \h </w:instrText>
        </w:r>
        <w:r w:rsidR="005441DE">
          <w:rPr>
            <w:noProof/>
            <w:webHidden/>
          </w:rPr>
        </w:r>
        <w:r w:rsidR="005441DE">
          <w:rPr>
            <w:noProof/>
            <w:webHidden/>
          </w:rPr>
          <w:fldChar w:fldCharType="separate"/>
        </w:r>
        <w:r w:rsidR="005441DE">
          <w:rPr>
            <w:noProof/>
            <w:webHidden/>
          </w:rPr>
          <w:t>15</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r:id="rId22" w:anchor="_Toc19196929" w:history="1">
        <w:r w:rsidR="005441DE" w:rsidRPr="003A5C8B">
          <w:rPr>
            <w:rStyle w:val="Hyperlink"/>
            <w:noProof/>
          </w:rPr>
          <w:t>Figure 4</w:t>
        </w:r>
        <w:r w:rsidR="005441DE" w:rsidRPr="003A5C8B">
          <w:rPr>
            <w:rStyle w:val="Hyperlink"/>
            <w:noProof/>
          </w:rPr>
          <w:noBreakHyphen/>
          <w:t>1 Fitting curve between the historical volume of stored water and the historical pool elevation at GCD during WY 2019</w:t>
        </w:r>
        <w:r w:rsidR="005441DE">
          <w:rPr>
            <w:noProof/>
            <w:webHidden/>
          </w:rPr>
          <w:tab/>
        </w:r>
        <w:r w:rsidR="005441DE">
          <w:rPr>
            <w:noProof/>
            <w:webHidden/>
          </w:rPr>
          <w:fldChar w:fldCharType="begin"/>
        </w:r>
        <w:r w:rsidR="005441DE">
          <w:rPr>
            <w:noProof/>
            <w:webHidden/>
          </w:rPr>
          <w:instrText xml:space="preserve"> PAGEREF _Toc19196929 \h </w:instrText>
        </w:r>
        <w:r w:rsidR="005441DE">
          <w:rPr>
            <w:noProof/>
            <w:webHidden/>
          </w:rPr>
        </w:r>
        <w:r w:rsidR="005441DE">
          <w:rPr>
            <w:noProof/>
            <w:webHidden/>
          </w:rPr>
          <w:fldChar w:fldCharType="separate"/>
        </w:r>
        <w:r w:rsidR="005441DE">
          <w:rPr>
            <w:noProof/>
            <w:webHidden/>
          </w:rPr>
          <w:t>19</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r:id="rId23" w:anchor="_Toc19196930" w:history="1">
        <w:r w:rsidR="005441DE" w:rsidRPr="003A5C8B">
          <w:rPr>
            <w:rStyle w:val="Hyperlink"/>
            <w:noProof/>
          </w:rPr>
          <w:t>Figure 4</w:t>
        </w:r>
        <w:r w:rsidR="005441DE" w:rsidRPr="003A5C8B">
          <w:rPr>
            <w:rStyle w:val="Hyperlink"/>
            <w:noProof/>
          </w:rPr>
          <w:noBreakHyphen/>
          <w:t>2 Relation between the historical PCF and the historical pool elevation at GCD during WY 2019</w:t>
        </w:r>
        <w:r w:rsidR="005441DE">
          <w:rPr>
            <w:noProof/>
            <w:webHidden/>
          </w:rPr>
          <w:tab/>
        </w:r>
        <w:r w:rsidR="005441DE">
          <w:rPr>
            <w:noProof/>
            <w:webHidden/>
          </w:rPr>
          <w:fldChar w:fldCharType="begin"/>
        </w:r>
        <w:r w:rsidR="005441DE">
          <w:rPr>
            <w:noProof/>
            <w:webHidden/>
          </w:rPr>
          <w:instrText xml:space="preserve"> PAGEREF _Toc19196930 \h </w:instrText>
        </w:r>
        <w:r w:rsidR="005441DE">
          <w:rPr>
            <w:noProof/>
            <w:webHidden/>
          </w:rPr>
        </w:r>
        <w:r w:rsidR="005441DE">
          <w:rPr>
            <w:noProof/>
            <w:webHidden/>
          </w:rPr>
          <w:fldChar w:fldCharType="separate"/>
        </w:r>
        <w:r w:rsidR="005441DE">
          <w:rPr>
            <w:noProof/>
            <w:webHidden/>
          </w:rPr>
          <w:t>20</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w:anchor="_Toc19196931" w:history="1">
        <w:r w:rsidR="005441DE" w:rsidRPr="003A5C8B">
          <w:rPr>
            <w:rStyle w:val="Hyperlink"/>
            <w:noProof/>
          </w:rPr>
          <w:t>Figure 5</w:t>
        </w:r>
        <w:r w:rsidR="005441DE" w:rsidRPr="003A5C8B">
          <w:rPr>
            <w:rStyle w:val="Hyperlink"/>
            <w:noProof/>
          </w:rPr>
          <w:noBreakHyphen/>
          <w:t>1 Monthly water releases at GCD in WY 2019</w:t>
        </w:r>
        <w:r w:rsidR="005441DE">
          <w:rPr>
            <w:noProof/>
            <w:webHidden/>
          </w:rPr>
          <w:tab/>
        </w:r>
        <w:r w:rsidR="005441DE">
          <w:rPr>
            <w:noProof/>
            <w:webHidden/>
          </w:rPr>
          <w:fldChar w:fldCharType="begin"/>
        </w:r>
        <w:r w:rsidR="005441DE">
          <w:rPr>
            <w:noProof/>
            <w:webHidden/>
          </w:rPr>
          <w:instrText xml:space="preserve"> PAGEREF _Toc19196931 \h </w:instrText>
        </w:r>
        <w:r w:rsidR="005441DE">
          <w:rPr>
            <w:noProof/>
            <w:webHidden/>
          </w:rPr>
        </w:r>
        <w:r w:rsidR="005441DE">
          <w:rPr>
            <w:noProof/>
            <w:webHidden/>
          </w:rPr>
          <w:fldChar w:fldCharType="separate"/>
        </w:r>
        <w:r w:rsidR="005441DE">
          <w:rPr>
            <w:noProof/>
            <w:webHidden/>
          </w:rPr>
          <w:t>23</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r:id="rId24" w:anchor="_Toc19196932" w:history="1">
        <w:r w:rsidR="005441DE" w:rsidRPr="003A5C8B">
          <w:rPr>
            <w:rStyle w:val="Hyperlink"/>
            <w:noProof/>
          </w:rPr>
          <w:t>Figure 5</w:t>
        </w:r>
        <w:r w:rsidR="005441DE" w:rsidRPr="003A5C8B">
          <w:rPr>
            <w:rStyle w:val="Hyperlink"/>
            <w:noProof/>
          </w:rPr>
          <w:noBreakHyphen/>
          <w:t>2 Cost of the HFE in WY 2019</w:t>
        </w:r>
        <w:r w:rsidR="005441DE">
          <w:rPr>
            <w:noProof/>
            <w:webHidden/>
          </w:rPr>
          <w:tab/>
        </w:r>
        <w:r w:rsidR="005441DE">
          <w:rPr>
            <w:noProof/>
            <w:webHidden/>
          </w:rPr>
          <w:fldChar w:fldCharType="begin"/>
        </w:r>
        <w:r w:rsidR="005441DE">
          <w:rPr>
            <w:noProof/>
            <w:webHidden/>
          </w:rPr>
          <w:instrText xml:space="preserve"> PAGEREF _Toc19196932 \h </w:instrText>
        </w:r>
        <w:r w:rsidR="005441DE">
          <w:rPr>
            <w:noProof/>
            <w:webHidden/>
          </w:rPr>
        </w:r>
        <w:r w:rsidR="005441DE">
          <w:rPr>
            <w:noProof/>
            <w:webHidden/>
          </w:rPr>
          <w:fldChar w:fldCharType="separate"/>
        </w:r>
        <w:r w:rsidR="005441DE">
          <w:rPr>
            <w:noProof/>
            <w:webHidden/>
          </w:rPr>
          <w:t>26</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r:id="rId25" w:anchor="_Toc19196933" w:history="1">
        <w:r w:rsidR="005441DE" w:rsidRPr="003A5C8B">
          <w:rPr>
            <w:rStyle w:val="Hyperlink"/>
            <w:noProof/>
          </w:rPr>
          <w:t>Figure 5</w:t>
        </w:r>
        <w:r w:rsidR="005441DE" w:rsidRPr="003A5C8B">
          <w:rPr>
            <w:rStyle w:val="Hyperlink"/>
            <w:noProof/>
          </w:rPr>
          <w:noBreakHyphen/>
          <w:t>3 Comparison between HFE costs and estimated costs based on purchase prices</w:t>
        </w:r>
        <w:r w:rsidR="005441DE">
          <w:rPr>
            <w:noProof/>
            <w:webHidden/>
          </w:rPr>
          <w:tab/>
        </w:r>
        <w:r w:rsidR="005441DE">
          <w:rPr>
            <w:noProof/>
            <w:webHidden/>
          </w:rPr>
          <w:fldChar w:fldCharType="begin"/>
        </w:r>
        <w:r w:rsidR="005441DE">
          <w:rPr>
            <w:noProof/>
            <w:webHidden/>
          </w:rPr>
          <w:instrText xml:space="preserve"> PAGEREF _Toc19196933 \h </w:instrText>
        </w:r>
        <w:r w:rsidR="005441DE">
          <w:rPr>
            <w:noProof/>
            <w:webHidden/>
          </w:rPr>
        </w:r>
        <w:r w:rsidR="005441DE">
          <w:rPr>
            <w:noProof/>
            <w:webHidden/>
          </w:rPr>
          <w:fldChar w:fldCharType="separate"/>
        </w:r>
        <w:r w:rsidR="005441DE">
          <w:rPr>
            <w:noProof/>
            <w:webHidden/>
          </w:rPr>
          <w:t>28</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r:id="rId26" w:anchor="_Toc19196934" w:history="1">
        <w:r w:rsidR="005441DE" w:rsidRPr="003A5C8B">
          <w:rPr>
            <w:rStyle w:val="Hyperlink"/>
            <w:noProof/>
          </w:rPr>
          <w:t>Figure A</w:t>
        </w:r>
        <w:r w:rsidR="005441DE" w:rsidRPr="003A5C8B">
          <w:rPr>
            <w:rStyle w:val="Hyperlink"/>
            <w:noProof/>
          </w:rPr>
          <w:noBreakHyphen/>
          <w:t>1 Comparison of water releases between the Factual and a Counterfactual case, based on planned and historical data</w:t>
        </w:r>
        <w:r w:rsidR="005441DE">
          <w:rPr>
            <w:noProof/>
            <w:webHidden/>
          </w:rPr>
          <w:tab/>
          <w:t>A-</w:t>
        </w:r>
        <w:r w:rsidR="005441DE">
          <w:rPr>
            <w:noProof/>
            <w:webHidden/>
          </w:rPr>
          <w:fldChar w:fldCharType="begin"/>
        </w:r>
        <w:r w:rsidR="005441DE">
          <w:rPr>
            <w:noProof/>
            <w:webHidden/>
          </w:rPr>
          <w:instrText xml:space="preserve"> PAGEREF _Toc19196934 \h </w:instrText>
        </w:r>
        <w:r w:rsidR="005441DE">
          <w:rPr>
            <w:noProof/>
            <w:webHidden/>
          </w:rPr>
        </w:r>
        <w:r w:rsidR="005441DE">
          <w:rPr>
            <w:noProof/>
            <w:webHidden/>
          </w:rPr>
          <w:fldChar w:fldCharType="separate"/>
        </w:r>
        <w:r w:rsidR="005441DE">
          <w:rPr>
            <w:noProof/>
            <w:webHidden/>
          </w:rPr>
          <w:t>1</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r:id="rId27" w:anchor="_Toc19196935" w:history="1">
        <w:r w:rsidR="005441DE" w:rsidRPr="003A5C8B">
          <w:rPr>
            <w:rStyle w:val="Hyperlink"/>
            <w:noProof/>
          </w:rPr>
          <w:t>Figure A</w:t>
        </w:r>
        <w:r w:rsidR="005441DE" w:rsidRPr="003A5C8B">
          <w:rPr>
            <w:rStyle w:val="Hyperlink"/>
            <w:noProof/>
          </w:rPr>
          <w:noBreakHyphen/>
          <w:t>2 Comparison of monthly costs of HFE in WY 2019, based on planned and historical data</w:t>
        </w:r>
        <w:r w:rsidR="005441DE">
          <w:rPr>
            <w:noProof/>
            <w:webHidden/>
          </w:rPr>
          <w:tab/>
          <w:t>A-</w:t>
        </w:r>
        <w:r w:rsidR="005441DE">
          <w:rPr>
            <w:noProof/>
            <w:webHidden/>
          </w:rPr>
          <w:fldChar w:fldCharType="begin"/>
        </w:r>
        <w:r w:rsidR="005441DE">
          <w:rPr>
            <w:noProof/>
            <w:webHidden/>
          </w:rPr>
          <w:instrText xml:space="preserve"> PAGEREF _Toc19196935 \h </w:instrText>
        </w:r>
        <w:r w:rsidR="005441DE">
          <w:rPr>
            <w:noProof/>
            <w:webHidden/>
          </w:rPr>
        </w:r>
        <w:r w:rsidR="005441DE">
          <w:rPr>
            <w:noProof/>
            <w:webHidden/>
          </w:rPr>
          <w:fldChar w:fldCharType="separate"/>
        </w:r>
        <w:r w:rsidR="005441DE">
          <w:rPr>
            <w:noProof/>
            <w:webHidden/>
          </w:rPr>
          <w:t>2</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w:anchor="_Toc19196936" w:history="1">
        <w:r w:rsidR="005441DE" w:rsidRPr="003A5C8B">
          <w:rPr>
            <w:rStyle w:val="Hyperlink"/>
            <w:noProof/>
          </w:rPr>
          <w:t>Figure B</w:t>
        </w:r>
        <w:r w:rsidR="005441DE" w:rsidRPr="003A5C8B">
          <w:rPr>
            <w:rStyle w:val="Hyperlink"/>
            <w:noProof/>
          </w:rPr>
          <w:noBreakHyphen/>
          <w:t>1 Typical week aggregated demand profile of the SLCA/IP system in November 2018, excluding HFE days, from historical values</w:t>
        </w:r>
        <w:r w:rsidR="005441DE">
          <w:rPr>
            <w:noProof/>
            <w:webHidden/>
          </w:rPr>
          <w:tab/>
          <w:t>B-</w:t>
        </w:r>
        <w:r w:rsidR="005441DE">
          <w:rPr>
            <w:noProof/>
            <w:webHidden/>
          </w:rPr>
          <w:fldChar w:fldCharType="begin"/>
        </w:r>
        <w:r w:rsidR="005441DE">
          <w:rPr>
            <w:noProof/>
            <w:webHidden/>
          </w:rPr>
          <w:instrText xml:space="preserve"> PAGEREF _Toc19196936 \h </w:instrText>
        </w:r>
        <w:r w:rsidR="005441DE">
          <w:rPr>
            <w:noProof/>
            <w:webHidden/>
          </w:rPr>
        </w:r>
        <w:r w:rsidR="005441DE">
          <w:rPr>
            <w:noProof/>
            <w:webHidden/>
          </w:rPr>
          <w:fldChar w:fldCharType="separate"/>
        </w:r>
        <w:r w:rsidR="005441DE">
          <w:rPr>
            <w:noProof/>
            <w:webHidden/>
          </w:rPr>
          <w:t>1</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w:anchor="_Toc19196937" w:history="1">
        <w:r w:rsidR="005441DE" w:rsidRPr="003A5C8B">
          <w:rPr>
            <w:rStyle w:val="Hyperlink"/>
            <w:noProof/>
          </w:rPr>
          <w:t>Figure B</w:t>
        </w:r>
        <w:r w:rsidR="005441DE" w:rsidRPr="003A5C8B">
          <w:rPr>
            <w:rStyle w:val="Hyperlink"/>
            <w:noProof/>
          </w:rPr>
          <w:noBreakHyphen/>
          <w:t>2 Typical week aggregated supply profile of all plants apart from GCD in November 2018, excluding HFE days, from historical values</w:t>
        </w:r>
        <w:r w:rsidR="005441DE">
          <w:rPr>
            <w:noProof/>
            <w:webHidden/>
          </w:rPr>
          <w:tab/>
          <w:t>B-</w:t>
        </w:r>
        <w:r w:rsidR="005441DE">
          <w:rPr>
            <w:noProof/>
            <w:webHidden/>
          </w:rPr>
          <w:fldChar w:fldCharType="begin"/>
        </w:r>
        <w:r w:rsidR="005441DE">
          <w:rPr>
            <w:noProof/>
            <w:webHidden/>
          </w:rPr>
          <w:instrText xml:space="preserve"> PAGEREF _Toc19196937 \h </w:instrText>
        </w:r>
        <w:r w:rsidR="005441DE">
          <w:rPr>
            <w:noProof/>
            <w:webHidden/>
          </w:rPr>
        </w:r>
        <w:r w:rsidR="005441DE">
          <w:rPr>
            <w:noProof/>
            <w:webHidden/>
          </w:rPr>
          <w:fldChar w:fldCharType="separate"/>
        </w:r>
        <w:r w:rsidR="005441DE">
          <w:rPr>
            <w:noProof/>
            <w:webHidden/>
          </w:rPr>
          <w:t>1</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w:anchor="_Toc19196938" w:history="1">
        <w:r w:rsidR="005441DE" w:rsidRPr="003A5C8B">
          <w:rPr>
            <w:rStyle w:val="Hyperlink"/>
            <w:noProof/>
          </w:rPr>
          <w:t>Figure B</w:t>
        </w:r>
        <w:r w:rsidR="005441DE" w:rsidRPr="003A5C8B">
          <w:rPr>
            <w:rStyle w:val="Hyperlink"/>
            <w:noProof/>
          </w:rPr>
          <w:noBreakHyphen/>
          <w:t>3 Typical week generation profile at GCD in November 2018, excluding HFE days, from historical values and calculated by GTMax SL Model</w:t>
        </w:r>
        <w:r w:rsidR="005441DE">
          <w:rPr>
            <w:noProof/>
            <w:webHidden/>
          </w:rPr>
          <w:tab/>
          <w:t>B-</w:t>
        </w:r>
        <w:r w:rsidR="005441DE">
          <w:rPr>
            <w:noProof/>
            <w:webHidden/>
          </w:rPr>
          <w:fldChar w:fldCharType="begin"/>
        </w:r>
        <w:r w:rsidR="005441DE">
          <w:rPr>
            <w:noProof/>
            <w:webHidden/>
          </w:rPr>
          <w:instrText xml:space="preserve"> PAGEREF _Toc19196938 \h </w:instrText>
        </w:r>
        <w:r w:rsidR="005441DE">
          <w:rPr>
            <w:noProof/>
            <w:webHidden/>
          </w:rPr>
        </w:r>
        <w:r w:rsidR="005441DE">
          <w:rPr>
            <w:noProof/>
            <w:webHidden/>
          </w:rPr>
          <w:fldChar w:fldCharType="separate"/>
        </w:r>
        <w:r w:rsidR="005441DE">
          <w:rPr>
            <w:noProof/>
            <w:webHidden/>
          </w:rPr>
          <w:t>2</w:t>
        </w:r>
        <w:r w:rsidR="005441DE">
          <w:rPr>
            <w:noProof/>
            <w:webHidden/>
          </w:rPr>
          <w:fldChar w:fldCharType="end"/>
        </w:r>
      </w:hyperlink>
    </w:p>
    <w:p w:rsidR="005B07C7" w:rsidRDefault="005B07C7" w:rsidP="005B07C7">
      <w:pPr>
        <w:jc w:val="center"/>
        <w:rPr>
          <w:b/>
        </w:rPr>
      </w:pPr>
      <w:r>
        <w:rPr>
          <w:b/>
        </w:rPr>
        <w:fldChar w:fldCharType="end"/>
      </w:r>
    </w:p>
    <w:p w:rsidR="005B07C7" w:rsidRDefault="005B07C7" w:rsidP="005B07C7">
      <w:pPr>
        <w:jc w:val="center"/>
        <w:rPr>
          <w:b/>
        </w:rPr>
      </w:pPr>
    </w:p>
    <w:p w:rsidR="005B07C7" w:rsidRDefault="005B07C7" w:rsidP="005B07C7">
      <w:pPr>
        <w:jc w:val="center"/>
        <w:rPr>
          <w:b/>
        </w:rPr>
      </w:pPr>
    </w:p>
    <w:p w:rsidR="005B07C7" w:rsidRDefault="005B07C7" w:rsidP="005B07C7">
      <w:pPr>
        <w:pStyle w:val="Heading1"/>
        <w:numPr>
          <w:ilvl w:val="0"/>
          <w:numId w:val="0"/>
        </w:numPr>
      </w:pPr>
      <w:bookmarkStart w:id="5" w:name="_Toc19196954"/>
      <w:r>
        <w:t>L</w:t>
      </w:r>
      <w:r w:rsidR="003100CE">
        <w:t>ist of Tables</w:t>
      </w:r>
      <w:bookmarkEnd w:id="5"/>
    </w:p>
    <w:p w:rsidR="005B07C7" w:rsidRDefault="005B07C7" w:rsidP="005B07C7">
      <w:pPr>
        <w:jc w:val="center"/>
        <w:rPr>
          <w:b/>
        </w:rPr>
      </w:pPr>
    </w:p>
    <w:p w:rsidR="005B07C7" w:rsidRDefault="005B07C7" w:rsidP="005B07C7">
      <w:pPr>
        <w:jc w:val="center"/>
        <w:rPr>
          <w:b/>
        </w:rPr>
      </w:pPr>
    </w:p>
    <w:p w:rsidR="005441DE" w:rsidRDefault="005B07C7">
      <w:pPr>
        <w:pStyle w:val="TableofFigures"/>
        <w:tabs>
          <w:tab w:val="right" w:leader="dot" w:pos="9350"/>
        </w:tabs>
        <w:rPr>
          <w:rFonts w:asciiTheme="minorHAnsi" w:eastAsiaTheme="minorEastAsia" w:hAnsiTheme="minorHAnsi" w:cstheme="minorBidi"/>
          <w:noProof/>
          <w:sz w:val="22"/>
          <w:szCs w:val="22"/>
        </w:rPr>
      </w:pPr>
      <w:r>
        <w:rPr>
          <w:b/>
        </w:rPr>
        <w:fldChar w:fldCharType="begin"/>
      </w:r>
      <w:r>
        <w:rPr>
          <w:b/>
        </w:rPr>
        <w:instrText xml:space="preserve"> TOC \h \z \c "Table" </w:instrText>
      </w:r>
      <w:r>
        <w:rPr>
          <w:b/>
        </w:rPr>
        <w:fldChar w:fldCharType="separate"/>
      </w:r>
      <w:hyperlink w:anchor="_Toc19196919" w:history="1">
        <w:r w:rsidR="005441DE" w:rsidRPr="00532E63">
          <w:rPr>
            <w:rStyle w:val="Hyperlink"/>
            <w:noProof/>
          </w:rPr>
          <w:t>Table 2</w:t>
        </w:r>
        <w:r w:rsidR="005441DE" w:rsidRPr="00532E63">
          <w:rPr>
            <w:rStyle w:val="Hyperlink"/>
            <w:noProof/>
          </w:rPr>
          <w:noBreakHyphen/>
          <w:t>1 Evolution of operating constraints at GCD</w:t>
        </w:r>
        <w:r w:rsidR="005441DE">
          <w:rPr>
            <w:noProof/>
            <w:webHidden/>
          </w:rPr>
          <w:tab/>
        </w:r>
        <w:r w:rsidR="005441DE">
          <w:rPr>
            <w:noProof/>
            <w:webHidden/>
          </w:rPr>
          <w:fldChar w:fldCharType="begin"/>
        </w:r>
        <w:r w:rsidR="005441DE">
          <w:rPr>
            <w:noProof/>
            <w:webHidden/>
          </w:rPr>
          <w:instrText xml:space="preserve"> PAGEREF _Toc19196919 \h </w:instrText>
        </w:r>
        <w:r w:rsidR="005441DE">
          <w:rPr>
            <w:noProof/>
            <w:webHidden/>
          </w:rPr>
        </w:r>
        <w:r w:rsidR="005441DE">
          <w:rPr>
            <w:noProof/>
            <w:webHidden/>
          </w:rPr>
          <w:fldChar w:fldCharType="separate"/>
        </w:r>
        <w:r w:rsidR="005441DE">
          <w:rPr>
            <w:noProof/>
            <w:webHidden/>
          </w:rPr>
          <w:t>8</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w:anchor="_Toc19196920" w:history="1">
        <w:r w:rsidR="005441DE" w:rsidRPr="00532E63">
          <w:rPr>
            <w:rStyle w:val="Hyperlink"/>
            <w:noProof/>
          </w:rPr>
          <w:t>Table 2</w:t>
        </w:r>
        <w:r w:rsidR="005441DE" w:rsidRPr="00532E63">
          <w:rPr>
            <w:rStyle w:val="Hyperlink"/>
            <w:noProof/>
          </w:rPr>
          <w:noBreakHyphen/>
          <w:t>2 Monthly water releases and Lake Powell elevations  for both types of cases in WY 2019</w:t>
        </w:r>
        <w:r w:rsidR="005441DE">
          <w:rPr>
            <w:noProof/>
            <w:webHidden/>
          </w:rPr>
          <w:tab/>
        </w:r>
        <w:r w:rsidR="005441DE">
          <w:rPr>
            <w:noProof/>
            <w:webHidden/>
          </w:rPr>
          <w:fldChar w:fldCharType="begin"/>
        </w:r>
        <w:r w:rsidR="005441DE">
          <w:rPr>
            <w:noProof/>
            <w:webHidden/>
          </w:rPr>
          <w:instrText xml:space="preserve"> PAGEREF _Toc19196920 \h </w:instrText>
        </w:r>
        <w:r w:rsidR="005441DE">
          <w:rPr>
            <w:noProof/>
            <w:webHidden/>
          </w:rPr>
        </w:r>
        <w:r w:rsidR="005441DE">
          <w:rPr>
            <w:noProof/>
            <w:webHidden/>
          </w:rPr>
          <w:fldChar w:fldCharType="separate"/>
        </w:r>
        <w:r w:rsidR="005441DE">
          <w:rPr>
            <w:noProof/>
            <w:webHidden/>
          </w:rPr>
          <w:t>9</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w:anchor="_Toc19196921" w:history="1">
        <w:r w:rsidR="005441DE" w:rsidRPr="00532E63">
          <w:rPr>
            <w:rStyle w:val="Hyperlink"/>
            <w:noProof/>
          </w:rPr>
          <w:t>Table 3</w:t>
        </w:r>
        <w:r w:rsidR="005441DE" w:rsidRPr="00532E63">
          <w:rPr>
            <w:rStyle w:val="Hyperlink"/>
            <w:noProof/>
          </w:rPr>
          <w:noBreakHyphen/>
          <w:t>1 Characteristics of the GCD Powerplant experimental release</w:t>
        </w:r>
        <w:r w:rsidR="005441DE">
          <w:rPr>
            <w:noProof/>
            <w:webHidden/>
          </w:rPr>
          <w:tab/>
        </w:r>
        <w:r w:rsidR="005441DE">
          <w:rPr>
            <w:noProof/>
            <w:webHidden/>
          </w:rPr>
          <w:fldChar w:fldCharType="begin"/>
        </w:r>
        <w:r w:rsidR="005441DE">
          <w:rPr>
            <w:noProof/>
            <w:webHidden/>
          </w:rPr>
          <w:instrText xml:space="preserve"> PAGEREF _Toc19196921 \h </w:instrText>
        </w:r>
        <w:r w:rsidR="005441DE">
          <w:rPr>
            <w:noProof/>
            <w:webHidden/>
          </w:rPr>
        </w:r>
        <w:r w:rsidR="005441DE">
          <w:rPr>
            <w:noProof/>
            <w:webHidden/>
          </w:rPr>
          <w:fldChar w:fldCharType="separate"/>
        </w:r>
        <w:r w:rsidR="005441DE">
          <w:rPr>
            <w:noProof/>
            <w:webHidden/>
          </w:rPr>
          <w:t>13</w:t>
        </w:r>
        <w:r w:rsidR="005441DE">
          <w:rPr>
            <w:noProof/>
            <w:webHidden/>
          </w:rPr>
          <w:fldChar w:fldCharType="end"/>
        </w:r>
      </w:hyperlink>
    </w:p>
    <w:p w:rsidR="005441DE" w:rsidRDefault="00CE27EE">
      <w:pPr>
        <w:pStyle w:val="TableofFigures"/>
        <w:tabs>
          <w:tab w:val="right" w:leader="dot" w:pos="9350"/>
        </w:tabs>
        <w:rPr>
          <w:rFonts w:asciiTheme="minorHAnsi" w:eastAsiaTheme="minorEastAsia" w:hAnsiTheme="minorHAnsi" w:cstheme="minorBidi"/>
          <w:noProof/>
          <w:sz w:val="22"/>
          <w:szCs w:val="22"/>
        </w:rPr>
      </w:pPr>
      <w:hyperlink w:anchor="_Toc19196922" w:history="1">
        <w:r w:rsidR="005441DE" w:rsidRPr="00532E63">
          <w:rPr>
            <w:rStyle w:val="Hyperlink"/>
            <w:noProof/>
          </w:rPr>
          <w:t>Table 5</w:t>
        </w:r>
        <w:r w:rsidR="005441DE" w:rsidRPr="00532E63">
          <w:rPr>
            <w:rStyle w:val="Hyperlink"/>
            <w:noProof/>
          </w:rPr>
          <w:noBreakHyphen/>
          <w:t>1 Repartition of HFE costs</w:t>
        </w:r>
        <w:r w:rsidR="005441DE">
          <w:rPr>
            <w:noProof/>
            <w:webHidden/>
          </w:rPr>
          <w:tab/>
        </w:r>
        <w:r w:rsidR="005441DE">
          <w:rPr>
            <w:noProof/>
            <w:webHidden/>
          </w:rPr>
          <w:fldChar w:fldCharType="begin"/>
        </w:r>
        <w:r w:rsidR="005441DE">
          <w:rPr>
            <w:noProof/>
            <w:webHidden/>
          </w:rPr>
          <w:instrText xml:space="preserve"> PAGEREF _Toc19196922 \h </w:instrText>
        </w:r>
        <w:r w:rsidR="005441DE">
          <w:rPr>
            <w:noProof/>
            <w:webHidden/>
          </w:rPr>
        </w:r>
        <w:r w:rsidR="005441DE">
          <w:rPr>
            <w:noProof/>
            <w:webHidden/>
          </w:rPr>
          <w:fldChar w:fldCharType="separate"/>
        </w:r>
        <w:r w:rsidR="005441DE">
          <w:rPr>
            <w:noProof/>
            <w:webHidden/>
          </w:rPr>
          <w:t>26</w:t>
        </w:r>
        <w:r w:rsidR="005441DE">
          <w:rPr>
            <w:noProof/>
            <w:webHidden/>
          </w:rPr>
          <w:fldChar w:fldCharType="end"/>
        </w:r>
      </w:hyperlink>
    </w:p>
    <w:p w:rsidR="005B07C7" w:rsidRDefault="005B07C7" w:rsidP="00606D1D">
      <w:pPr>
        <w:jc w:val="center"/>
      </w:pPr>
      <w:r>
        <w:fldChar w:fldCharType="end"/>
      </w:r>
      <w:bookmarkStart w:id="6" w:name="_Toc469977149"/>
      <w:bookmarkEnd w:id="3"/>
    </w:p>
    <w:p w:rsidR="005B07C7" w:rsidRDefault="005B07C7" w:rsidP="005B07C7">
      <w:r>
        <w:br w:type="page"/>
      </w:r>
    </w:p>
    <w:p w:rsidR="005B07C7" w:rsidRPr="008D2F58" w:rsidRDefault="003100CE" w:rsidP="005B07C7">
      <w:pPr>
        <w:pStyle w:val="Heading1"/>
        <w:numPr>
          <w:ilvl w:val="0"/>
          <w:numId w:val="0"/>
        </w:numPr>
      </w:pPr>
      <w:bookmarkStart w:id="7" w:name="_Toc19196955"/>
      <w:r>
        <w:t>List of Acronyms a</w:t>
      </w:r>
      <w:r w:rsidRPr="008D2F58">
        <w:t>nd Abbreviations</w:t>
      </w:r>
      <w:bookmarkEnd w:id="6"/>
      <w:bookmarkEnd w:id="7"/>
    </w:p>
    <w:p w:rsidR="005B07C7" w:rsidRDefault="005B07C7" w:rsidP="005B07C7"/>
    <w:p w:rsidR="005B07C7" w:rsidRDefault="005B07C7" w:rsidP="005B07C7">
      <w:r w:rsidRPr="008D2F58">
        <w:t>The following is a list of the acronyms and abbreviations (including units of measure) used in this document.</w:t>
      </w:r>
    </w:p>
    <w:p w:rsidR="005B07C7" w:rsidRPr="008D2F58" w:rsidRDefault="005B07C7" w:rsidP="005B07C7"/>
    <w:p w:rsidR="00A97E24" w:rsidRDefault="00A97E24" w:rsidP="008B2F25">
      <w:pPr>
        <w:ind w:left="1800" w:hanging="1800"/>
        <w:jc w:val="left"/>
      </w:pPr>
      <w:r>
        <w:t>AHP</w:t>
      </w:r>
      <w:r>
        <w:tab/>
        <w:t>available hydropower</w:t>
      </w:r>
    </w:p>
    <w:p w:rsidR="005B07C7" w:rsidRPr="006E5CA6" w:rsidRDefault="006E5CA6" w:rsidP="008B2F25">
      <w:pPr>
        <w:ind w:left="1800" w:hanging="1800"/>
        <w:jc w:val="left"/>
      </w:pPr>
      <w:r w:rsidRPr="006E5CA6">
        <w:t>Argonne</w:t>
      </w:r>
      <w:r w:rsidRPr="006E5CA6">
        <w:tab/>
      </w:r>
      <w:r w:rsidR="005B07C7" w:rsidRPr="006E5CA6">
        <w:t>Argonne National Laboratory</w:t>
      </w:r>
    </w:p>
    <w:p w:rsidR="005B07C7" w:rsidRPr="006E5CA6" w:rsidRDefault="005B07C7" w:rsidP="008B2F25">
      <w:pPr>
        <w:ind w:left="1800"/>
        <w:jc w:val="left"/>
      </w:pPr>
    </w:p>
    <w:p w:rsidR="005B07C7" w:rsidRPr="006E5CA6" w:rsidRDefault="005B07C7" w:rsidP="008B2F25">
      <w:pPr>
        <w:ind w:left="1800" w:hanging="1800"/>
        <w:jc w:val="left"/>
      </w:pPr>
      <w:r w:rsidRPr="006E5CA6">
        <w:t>CRSP</w:t>
      </w:r>
      <w:r w:rsidR="006E5CA6" w:rsidRPr="006E5CA6">
        <w:tab/>
      </w:r>
      <w:r w:rsidR="006E5CA6" w:rsidRPr="006E5CA6">
        <w:tab/>
      </w:r>
      <w:r w:rsidR="006E5CA6" w:rsidRPr="006E5CA6">
        <w:tab/>
      </w:r>
      <w:r w:rsidR="006E5CA6" w:rsidRPr="006E5CA6">
        <w:tab/>
      </w:r>
      <w:r w:rsidR="006E5CA6" w:rsidRPr="006E5CA6">
        <w:tab/>
      </w:r>
      <w:r w:rsidR="006E5CA6" w:rsidRPr="006E5CA6">
        <w:tab/>
      </w:r>
      <w:r w:rsidR="006E5CA6" w:rsidRPr="006E5CA6">
        <w:tab/>
      </w:r>
      <w:r w:rsidRPr="006E5CA6">
        <w:t>Colorado River Storage Project</w:t>
      </w:r>
    </w:p>
    <w:p w:rsidR="005B07C7" w:rsidRPr="00606D1D" w:rsidRDefault="005B07C7" w:rsidP="008B2F25">
      <w:pPr>
        <w:ind w:left="1800"/>
        <w:rPr>
          <w:highlight w:val="yellow"/>
        </w:rPr>
      </w:pPr>
    </w:p>
    <w:p w:rsidR="001A6720" w:rsidRDefault="001A6720" w:rsidP="008B2F25">
      <w:pPr>
        <w:ind w:left="1800" w:hanging="1800"/>
      </w:pPr>
      <w:r>
        <w:t>EMMO</w:t>
      </w:r>
      <w:r>
        <w:tab/>
      </w:r>
      <w:r w:rsidRPr="001A6720">
        <w:t>Energy Manage</w:t>
      </w:r>
      <w:r>
        <w:t>ment and Marketing Office</w:t>
      </w:r>
    </w:p>
    <w:p w:rsidR="001A6720" w:rsidRDefault="001A6720" w:rsidP="008B2F25">
      <w:pPr>
        <w:ind w:left="1800" w:hanging="1800"/>
      </w:pPr>
    </w:p>
    <w:p w:rsidR="008B2F25" w:rsidRDefault="008B2F25" w:rsidP="008B2F25">
      <w:pPr>
        <w:ind w:left="1800" w:hanging="1800"/>
      </w:pPr>
      <w:r>
        <w:t>FES</w:t>
      </w:r>
      <w:r>
        <w:tab/>
      </w:r>
      <w:r w:rsidRPr="008B2F25">
        <w:t>firm electric service</w:t>
      </w:r>
    </w:p>
    <w:p w:rsidR="008B2F25" w:rsidRDefault="008B2F25" w:rsidP="008B2F25">
      <w:pPr>
        <w:ind w:left="1800" w:hanging="1800"/>
      </w:pPr>
    </w:p>
    <w:p w:rsidR="00E5757E" w:rsidRDefault="00E5757E" w:rsidP="008B2F25">
      <w:pPr>
        <w:ind w:left="1800" w:hanging="1800"/>
      </w:pPr>
      <w:r>
        <w:t>GCD</w:t>
      </w:r>
      <w:r>
        <w:tab/>
        <w:t>Glen Canyon Dam</w:t>
      </w:r>
    </w:p>
    <w:p w:rsidR="005B07C7" w:rsidRDefault="005B07C7" w:rsidP="008B2F25">
      <w:pPr>
        <w:ind w:left="1800" w:hanging="1800"/>
      </w:pPr>
      <w:r w:rsidRPr="006E5CA6">
        <w:t>GTMax</w:t>
      </w:r>
      <w:r w:rsidR="00620791">
        <w:t xml:space="preserve"> </w:t>
      </w:r>
      <w:r w:rsidRPr="006E5CA6">
        <w:t>SL</w:t>
      </w:r>
      <w:r w:rsidRPr="006E5CA6">
        <w:tab/>
        <w:t>Generation and Transmission Maximization Superlite</w:t>
      </w:r>
    </w:p>
    <w:p w:rsidR="008B2F25" w:rsidRDefault="008B2F25" w:rsidP="008B2F25">
      <w:pPr>
        <w:ind w:left="1800" w:hanging="1800"/>
      </w:pPr>
    </w:p>
    <w:p w:rsidR="008B2F25" w:rsidRDefault="008B2F25" w:rsidP="008B2F25">
      <w:pPr>
        <w:ind w:left="1800" w:hanging="1800"/>
      </w:pPr>
      <w:r>
        <w:t>HFE</w:t>
      </w:r>
      <w:r>
        <w:tab/>
        <w:t>High Flow Experiment</w:t>
      </w:r>
    </w:p>
    <w:p w:rsidR="008B2F25" w:rsidRDefault="008B2F25" w:rsidP="008B2F25">
      <w:pPr>
        <w:ind w:left="1800" w:hanging="1800"/>
      </w:pPr>
    </w:p>
    <w:p w:rsidR="008B2F25" w:rsidRDefault="008B2F25" w:rsidP="008B2F25">
      <w:pPr>
        <w:ind w:left="1800" w:hanging="1800"/>
      </w:pPr>
      <w:r>
        <w:t>LTEMP</w:t>
      </w:r>
      <w:r>
        <w:tab/>
      </w:r>
      <w:r w:rsidRPr="008B2F25">
        <w:t>Long-Term Experimental and Management Plan</w:t>
      </w:r>
    </w:p>
    <w:p w:rsidR="008B2F25" w:rsidRDefault="008B2F25" w:rsidP="008B2F25">
      <w:pPr>
        <w:ind w:left="1800" w:hanging="1800"/>
      </w:pPr>
    </w:p>
    <w:p w:rsidR="008B2F25" w:rsidRDefault="008B2F25" w:rsidP="008B2F25">
      <w:pPr>
        <w:ind w:left="1800" w:hanging="1800"/>
      </w:pPr>
      <w:r>
        <w:t>MLFF</w:t>
      </w:r>
      <w:r>
        <w:tab/>
      </w:r>
      <w:r w:rsidRPr="008B2F25">
        <w:t>Modified Low Fluctuating Flow</w:t>
      </w:r>
    </w:p>
    <w:p w:rsidR="00D925A4" w:rsidRDefault="00D925A4" w:rsidP="00D925A4">
      <w:pPr>
        <w:ind w:left="1800" w:hanging="1800"/>
      </w:pPr>
      <w:r w:rsidRPr="00672903">
        <w:t>MPF</w:t>
      </w:r>
      <w:r w:rsidRPr="00D925A4">
        <w:t xml:space="preserve"> </w:t>
      </w:r>
      <w:r>
        <w:tab/>
      </w:r>
      <w:r w:rsidRPr="00672903">
        <w:t>Mac</w:t>
      </w:r>
      <w:r w:rsidRPr="00D925A4">
        <w:t>roinvertebrate Production Flow</w:t>
      </w:r>
    </w:p>
    <w:p w:rsidR="00A97E24" w:rsidRDefault="00A97E24" w:rsidP="008B2F25">
      <w:pPr>
        <w:ind w:left="1800" w:hanging="1800"/>
      </w:pPr>
      <w:r>
        <w:t>MSR</w:t>
      </w:r>
      <w:r>
        <w:tab/>
        <w:t>Minimum Schedule Requirement</w:t>
      </w:r>
    </w:p>
    <w:p w:rsidR="005B07C7" w:rsidRPr="00606D1D" w:rsidRDefault="005B07C7" w:rsidP="008B2F25">
      <w:pPr>
        <w:ind w:left="1800"/>
        <w:rPr>
          <w:highlight w:val="yellow"/>
        </w:rPr>
      </w:pPr>
    </w:p>
    <w:p w:rsidR="005B07C7" w:rsidRPr="008A2766" w:rsidRDefault="005B07C7" w:rsidP="008B2F25">
      <w:pPr>
        <w:ind w:left="1800" w:hanging="1800"/>
      </w:pPr>
      <w:r w:rsidRPr="008A2766">
        <w:t>PCF</w:t>
      </w:r>
      <w:r w:rsidRPr="008A2766">
        <w:tab/>
      </w:r>
      <w:r w:rsidRPr="008A2766">
        <w:tab/>
        <w:t>Power Conversion Factor</w:t>
      </w:r>
    </w:p>
    <w:p w:rsidR="005B07C7" w:rsidRPr="00606D1D" w:rsidRDefault="005B07C7" w:rsidP="008B2F25">
      <w:pPr>
        <w:ind w:left="1800" w:hanging="1800"/>
        <w:rPr>
          <w:highlight w:val="yellow"/>
        </w:rPr>
      </w:pPr>
    </w:p>
    <w:p w:rsidR="005B07C7" w:rsidRPr="008A2766" w:rsidRDefault="005B07C7" w:rsidP="008B2F25">
      <w:pPr>
        <w:ind w:left="1800" w:hanging="1800"/>
      </w:pPr>
      <w:r w:rsidRPr="008A2766">
        <w:t xml:space="preserve">Reclamation </w:t>
      </w:r>
      <w:r w:rsidRPr="008A2766">
        <w:tab/>
        <w:t>Bureau of Reclamation</w:t>
      </w:r>
    </w:p>
    <w:p w:rsidR="005B07C7" w:rsidRPr="008B2F25" w:rsidRDefault="005B07C7" w:rsidP="008B2F25">
      <w:pPr>
        <w:ind w:left="1800" w:hanging="1800"/>
      </w:pPr>
      <w:r w:rsidRPr="008B2F25">
        <w:t>ROD</w:t>
      </w:r>
      <w:r w:rsidRPr="008B2F25">
        <w:tab/>
      </w:r>
      <w:r w:rsidRPr="008B2F25">
        <w:tab/>
        <w:t>Record of Decision</w:t>
      </w:r>
    </w:p>
    <w:p w:rsidR="005B07C7" w:rsidRPr="00606D1D" w:rsidRDefault="005B07C7" w:rsidP="008B2F25">
      <w:pPr>
        <w:ind w:left="1800" w:hanging="1800"/>
        <w:rPr>
          <w:highlight w:val="yellow"/>
        </w:rPr>
      </w:pPr>
    </w:p>
    <w:p w:rsidR="0094197B" w:rsidRDefault="0094197B" w:rsidP="004C5DC1">
      <w:pPr>
        <w:ind w:left="1800" w:hanging="1800"/>
      </w:pPr>
      <w:r>
        <w:t>SCADA</w:t>
      </w:r>
      <w:r>
        <w:tab/>
      </w:r>
      <w:r w:rsidRPr="00043E63">
        <w:t>supervisory cont</w:t>
      </w:r>
      <w:r>
        <w:t>rol and data acquisition</w:t>
      </w:r>
    </w:p>
    <w:p w:rsidR="00A97E24" w:rsidRDefault="00A97E24" w:rsidP="004C5DC1">
      <w:pPr>
        <w:ind w:left="1800" w:hanging="1800"/>
      </w:pPr>
      <w:r>
        <w:t>SHP</w:t>
      </w:r>
      <w:r>
        <w:tab/>
      </w:r>
      <w:r w:rsidRPr="001A6720">
        <w:t xml:space="preserve">sustainable hydropower </w:t>
      </w:r>
    </w:p>
    <w:p w:rsidR="005B07C7" w:rsidRPr="00606D1D" w:rsidRDefault="008B2F25" w:rsidP="004C5DC1">
      <w:pPr>
        <w:ind w:left="1800" w:hanging="1800"/>
        <w:rPr>
          <w:highlight w:val="yellow"/>
        </w:rPr>
      </w:pPr>
      <w:r w:rsidRPr="00E5757E">
        <w:t>SLCA/IP</w:t>
      </w:r>
      <w:r>
        <w:tab/>
      </w:r>
      <w:r w:rsidRPr="008B2F25">
        <w:t>Salt Lake City Area Integrated Projects</w:t>
      </w:r>
    </w:p>
    <w:p w:rsidR="005B07C7" w:rsidRPr="00606D1D" w:rsidRDefault="005B07C7" w:rsidP="008B2F25">
      <w:pPr>
        <w:ind w:left="1800" w:hanging="1800"/>
        <w:rPr>
          <w:highlight w:val="yellow"/>
        </w:rPr>
      </w:pPr>
    </w:p>
    <w:p w:rsidR="005B07C7" w:rsidRPr="008A2766" w:rsidRDefault="005B07C7" w:rsidP="008B2F25">
      <w:pPr>
        <w:ind w:left="1800" w:hanging="1800"/>
      </w:pPr>
      <w:r w:rsidRPr="008A2766">
        <w:t>W</w:t>
      </w:r>
      <w:r w:rsidR="008A2766" w:rsidRPr="008A2766">
        <w:t>APA</w:t>
      </w:r>
      <w:r w:rsidRPr="008A2766">
        <w:tab/>
        <w:t>Western Area Power Administration</w:t>
      </w:r>
    </w:p>
    <w:p w:rsidR="005B07C7" w:rsidRDefault="005B07C7" w:rsidP="008B2F25">
      <w:pPr>
        <w:ind w:left="1800" w:hanging="1800"/>
        <w:rPr>
          <w:rFonts w:ascii="CG Times (W1)" w:hAnsi="CG Times (W1)"/>
        </w:rPr>
      </w:pPr>
      <w:r w:rsidRPr="008A2766">
        <w:t>WY</w:t>
      </w:r>
      <w:r w:rsidRPr="008A2766">
        <w:tab/>
      </w:r>
      <w:r w:rsidRPr="008A2766">
        <w:tab/>
        <w:t>water year</w:t>
      </w:r>
      <w:r w:rsidRPr="00115610">
        <w:tab/>
      </w:r>
      <w:bookmarkStart w:id="8" w:name="_Toc469977150"/>
    </w:p>
    <w:p w:rsidR="00620791" w:rsidRDefault="00620791">
      <w:pPr>
        <w:spacing w:line="240" w:lineRule="auto"/>
        <w:jc w:val="left"/>
        <w:rPr>
          <w:rFonts w:ascii="CG Times (W1)" w:hAnsi="CG Times (W1)"/>
        </w:rPr>
      </w:pPr>
      <w:r>
        <w:rPr>
          <w:rFonts w:ascii="CG Times (W1)" w:hAnsi="CG Times (W1)"/>
        </w:rPr>
        <w:br w:type="page"/>
      </w:r>
    </w:p>
    <w:p w:rsidR="005B07C7" w:rsidRDefault="005B07C7" w:rsidP="00E25099">
      <w:pPr>
        <w:rPr>
          <w:rFonts w:ascii="CG Times (W1)" w:hAnsi="CG Times (W1)"/>
        </w:rPr>
      </w:pPr>
    </w:p>
    <w:p w:rsidR="005B07C7" w:rsidRPr="00493930" w:rsidRDefault="005B07C7" w:rsidP="008B2F25">
      <w:pPr>
        <w:ind w:left="1800"/>
        <w:rPr>
          <w:rFonts w:ascii="CG Times (W1)" w:hAnsi="CG Times (W1)"/>
        </w:rPr>
      </w:pPr>
    </w:p>
    <w:p w:rsidR="005B07C7" w:rsidRDefault="003100CE" w:rsidP="00E25099">
      <w:pPr>
        <w:pStyle w:val="Heading1"/>
        <w:numPr>
          <w:ilvl w:val="0"/>
          <w:numId w:val="0"/>
        </w:numPr>
      </w:pPr>
      <w:bookmarkStart w:id="9" w:name="_Toc19196956"/>
      <w:r>
        <w:t>Units of Measure</w:t>
      </w:r>
      <w:bookmarkEnd w:id="8"/>
      <w:bookmarkEnd w:id="9"/>
    </w:p>
    <w:p w:rsidR="005B07C7" w:rsidRPr="00BF180B" w:rsidRDefault="005B07C7" w:rsidP="008B2F25">
      <w:pPr>
        <w:ind w:left="1800"/>
      </w:pPr>
    </w:p>
    <w:p w:rsidR="005B07C7" w:rsidRDefault="005B07C7" w:rsidP="008B2F25">
      <w:pPr>
        <w:ind w:left="1800" w:hanging="1800"/>
      </w:pPr>
      <w:r>
        <w:t>AF</w:t>
      </w:r>
      <w:r>
        <w:tab/>
      </w:r>
      <w:r>
        <w:tab/>
        <w:t>acre-feet</w:t>
      </w:r>
    </w:p>
    <w:p w:rsidR="00E5757E" w:rsidRDefault="00E5757E" w:rsidP="008B2F25">
      <w:pPr>
        <w:ind w:left="1800" w:hanging="1800"/>
      </w:pPr>
    </w:p>
    <w:p w:rsidR="005B07C7" w:rsidRPr="00115610" w:rsidRDefault="005B07C7" w:rsidP="008B2F25">
      <w:pPr>
        <w:ind w:left="1800" w:hanging="1800"/>
      </w:pPr>
      <w:r w:rsidRPr="00115610">
        <w:t>cfs</w:t>
      </w:r>
      <w:r w:rsidRPr="00115610">
        <w:tab/>
      </w:r>
      <w:r w:rsidRPr="00115610">
        <w:tab/>
        <w:t>cubic feet per second</w:t>
      </w:r>
    </w:p>
    <w:p w:rsidR="00E5757E" w:rsidRDefault="00E5757E" w:rsidP="008B2F25">
      <w:pPr>
        <w:ind w:left="1800" w:hanging="1800"/>
      </w:pPr>
    </w:p>
    <w:p w:rsidR="00340745" w:rsidRDefault="00340745" w:rsidP="008B2F25">
      <w:pPr>
        <w:ind w:left="1800" w:hanging="1800"/>
      </w:pPr>
      <w:r>
        <w:t>ft</w:t>
      </w:r>
      <w:r>
        <w:tab/>
        <w:t>feet</w:t>
      </w:r>
    </w:p>
    <w:p w:rsidR="00340745" w:rsidRDefault="00340745" w:rsidP="008B2F25">
      <w:pPr>
        <w:ind w:left="1800" w:hanging="1800"/>
      </w:pPr>
    </w:p>
    <w:p w:rsidR="005B07C7" w:rsidRPr="00115610" w:rsidRDefault="005B07C7" w:rsidP="008B2F25">
      <w:pPr>
        <w:ind w:left="1800" w:hanging="1800"/>
      </w:pPr>
      <w:r w:rsidRPr="00115610">
        <w:t>hr</w:t>
      </w:r>
      <w:r w:rsidRPr="00115610">
        <w:tab/>
      </w:r>
      <w:r w:rsidRPr="00115610">
        <w:tab/>
        <w:t>hour</w:t>
      </w:r>
    </w:p>
    <w:p w:rsidR="00E5757E" w:rsidRDefault="00E5757E" w:rsidP="008B2F25">
      <w:pPr>
        <w:ind w:left="1800" w:hanging="1800"/>
      </w:pPr>
    </w:p>
    <w:p w:rsidR="005B07C7" w:rsidRPr="00115610" w:rsidRDefault="005B07C7" w:rsidP="008B2F25">
      <w:pPr>
        <w:ind w:left="1800" w:hanging="1800"/>
      </w:pPr>
      <w:r w:rsidRPr="00115610">
        <w:t>MW</w:t>
      </w:r>
      <w:r w:rsidRPr="00115610">
        <w:tab/>
      </w:r>
      <w:r w:rsidRPr="00115610">
        <w:tab/>
        <w:t>megawatts</w:t>
      </w:r>
    </w:p>
    <w:p w:rsidR="005B07C7" w:rsidRDefault="005B07C7" w:rsidP="008B2F25">
      <w:pPr>
        <w:ind w:left="1800" w:hanging="1800"/>
      </w:pPr>
      <w:r w:rsidRPr="00115610">
        <w:t>MWh</w:t>
      </w:r>
      <w:r w:rsidRPr="00115610">
        <w:tab/>
      </w:r>
      <w:r w:rsidRPr="00115610">
        <w:tab/>
        <w:t>megawatt-hour(s)</w:t>
      </w:r>
    </w:p>
    <w:p w:rsidR="00E5757E" w:rsidRDefault="00E5757E" w:rsidP="008B2F25">
      <w:pPr>
        <w:ind w:left="1800" w:hanging="1800"/>
      </w:pPr>
    </w:p>
    <w:p w:rsidR="005B07C7" w:rsidRPr="00115610" w:rsidRDefault="005B07C7" w:rsidP="008B2F25">
      <w:pPr>
        <w:ind w:left="1800" w:hanging="1800"/>
      </w:pPr>
      <w:r>
        <w:t>p.u</w:t>
      </w:r>
      <w:r w:rsidR="00E5757E">
        <w:t>.</w:t>
      </w:r>
      <w:r>
        <w:tab/>
      </w:r>
      <w:r>
        <w:tab/>
        <w:t>per unit</w:t>
      </w:r>
    </w:p>
    <w:p w:rsidR="00606D1D" w:rsidRDefault="00606D1D" w:rsidP="005B07C7"/>
    <w:p w:rsidR="00A21585" w:rsidRDefault="00A21585" w:rsidP="00A21585">
      <w:pPr>
        <w:ind w:left="1800" w:hanging="1800"/>
      </w:pPr>
      <w:r>
        <w:t>TAF</w:t>
      </w:r>
      <w:r>
        <w:tab/>
      </w:r>
      <w:r>
        <w:tab/>
      </w:r>
      <w:r>
        <w:tab/>
      </w:r>
      <w:r>
        <w:tab/>
      </w:r>
      <w:r>
        <w:tab/>
      </w:r>
      <w:r>
        <w:tab/>
        <w:t>thousand acre-feet</w:t>
      </w:r>
    </w:p>
    <w:p w:rsidR="00A21585" w:rsidRDefault="00A21585" w:rsidP="00A21585">
      <w:pPr>
        <w:ind w:left="1800" w:hanging="1800"/>
        <w:sectPr w:rsidR="00A21585" w:rsidSect="00606D1D">
          <w:footerReference w:type="default" r:id="rId28"/>
          <w:footnotePr>
            <w:numFmt w:val="chicago"/>
          </w:footnotePr>
          <w:pgSz w:w="12240" w:h="15840" w:code="1"/>
          <w:pgMar w:top="1440" w:right="1440" w:bottom="1350" w:left="1440" w:header="720" w:footer="720" w:gutter="0"/>
          <w:pgNumType w:fmt="lowerRoman" w:start="1"/>
          <w:cols w:space="720"/>
          <w:docGrid w:linePitch="360"/>
        </w:sectPr>
      </w:pPr>
      <w:r>
        <w:tab/>
      </w:r>
    </w:p>
    <w:p w:rsidR="005B07C7" w:rsidRDefault="008A2766" w:rsidP="00E5757E">
      <w:pPr>
        <w:jc w:val="center"/>
        <w:rPr>
          <w:b/>
        </w:rPr>
      </w:pPr>
      <w:r w:rsidRPr="008A2766">
        <w:rPr>
          <w:b/>
        </w:rPr>
        <w:t>Financial Analysis of Experimental Releases</w:t>
      </w:r>
      <w:r w:rsidR="00E5757E">
        <w:rPr>
          <w:b/>
        </w:rPr>
        <w:t xml:space="preserve"> </w:t>
      </w:r>
      <w:r w:rsidRPr="008A2766">
        <w:rPr>
          <w:b/>
        </w:rPr>
        <w:t xml:space="preserve">Conducted </w:t>
      </w:r>
      <w:r w:rsidR="00E5757E">
        <w:rPr>
          <w:b/>
        </w:rPr>
        <w:br/>
      </w:r>
      <w:r w:rsidRPr="008A2766">
        <w:rPr>
          <w:b/>
        </w:rPr>
        <w:t>at Glen Canyon Dam</w:t>
      </w:r>
      <w:r w:rsidR="00E5757E">
        <w:rPr>
          <w:b/>
        </w:rPr>
        <w:t xml:space="preserve"> </w:t>
      </w:r>
      <w:r w:rsidRPr="008A2766">
        <w:rPr>
          <w:b/>
        </w:rPr>
        <w:t>during Water Year 2019</w:t>
      </w:r>
    </w:p>
    <w:p w:rsidR="005B07C7" w:rsidRDefault="005B07C7" w:rsidP="005B07C7">
      <w:pPr>
        <w:jc w:val="center"/>
      </w:pPr>
    </w:p>
    <w:p w:rsidR="005B07C7" w:rsidRDefault="005B07C7" w:rsidP="005B07C7">
      <w:pPr>
        <w:jc w:val="center"/>
      </w:pPr>
      <w:r>
        <w:t>by</w:t>
      </w:r>
    </w:p>
    <w:p w:rsidR="005B07C7" w:rsidRDefault="005B07C7" w:rsidP="005B07C7">
      <w:pPr>
        <w:jc w:val="center"/>
      </w:pPr>
    </w:p>
    <w:p w:rsidR="00606D1D" w:rsidRPr="00CA7CAB" w:rsidRDefault="005B07C7" w:rsidP="00606D1D">
      <w:pPr>
        <w:jc w:val="center"/>
      </w:pPr>
      <w:r>
        <w:t>Q. Ploussard,</w:t>
      </w:r>
      <w:r w:rsidR="00606D1D">
        <w:t xml:space="preserve"> and</w:t>
      </w:r>
      <w:r w:rsidRPr="00C96EF9">
        <w:t xml:space="preserve"> </w:t>
      </w:r>
      <w:r w:rsidR="00606D1D">
        <w:t>T.D. Veselka</w:t>
      </w:r>
    </w:p>
    <w:p w:rsidR="00606D1D" w:rsidRDefault="00606D1D" w:rsidP="00606D1D">
      <w:pPr>
        <w:jc w:val="center"/>
      </w:pPr>
    </w:p>
    <w:p w:rsidR="00606D1D" w:rsidRPr="00CA7CAB" w:rsidRDefault="00606D1D" w:rsidP="00606D1D">
      <w:pPr>
        <w:jc w:val="center"/>
      </w:pPr>
    </w:p>
    <w:p w:rsidR="00606D1D" w:rsidRPr="00F34236" w:rsidRDefault="00606D1D" w:rsidP="00606D1D">
      <w:pPr>
        <w:pStyle w:val="Heading1"/>
        <w:numPr>
          <w:ilvl w:val="0"/>
          <w:numId w:val="0"/>
        </w:numPr>
      </w:pPr>
      <w:bookmarkStart w:id="10" w:name="_Toc14365991"/>
      <w:bookmarkStart w:id="11" w:name="_Toc19196957"/>
      <w:r w:rsidRPr="00D66DF5">
        <w:t>E</w:t>
      </w:r>
      <w:r>
        <w:t>xecutive Summary</w:t>
      </w:r>
      <w:bookmarkEnd w:id="10"/>
      <w:bookmarkEnd w:id="11"/>
    </w:p>
    <w:p w:rsidR="00606D1D" w:rsidRDefault="00606D1D" w:rsidP="00606D1D">
      <w:pPr>
        <w:ind w:firstLine="432"/>
      </w:pPr>
    </w:p>
    <w:p w:rsidR="00606D1D" w:rsidRDefault="00606D1D" w:rsidP="00606D1D">
      <w:pPr>
        <w:ind w:firstLine="432"/>
      </w:pPr>
    </w:p>
    <w:p w:rsidR="00D61B2E" w:rsidRDefault="00444383" w:rsidP="00E25099">
      <w:r w:rsidRPr="00E5757E">
        <w:t xml:space="preserve">The 2016 </w:t>
      </w:r>
      <w:r w:rsidR="003A39EA">
        <w:t>Record of Decision (</w:t>
      </w:r>
      <w:r w:rsidRPr="00E5757E">
        <w:t>ROD</w:t>
      </w:r>
      <w:r w:rsidR="003A39EA">
        <w:t>) for the Glen Canyon Dam (GCD)</w:t>
      </w:r>
      <w:r w:rsidRPr="00E5757E">
        <w:t xml:space="preserve"> Long-Term Experimental and Management Plan (LTEMP)</w:t>
      </w:r>
      <w:r w:rsidR="003A39EA">
        <w:t xml:space="preserve"> final Environmental Impact Statement (EIS)</w:t>
      </w:r>
      <w:r w:rsidRPr="00E5757E">
        <w:t xml:space="preserve"> </w:t>
      </w:r>
      <w:r w:rsidR="003A39EA">
        <w:t>specified</w:t>
      </w:r>
      <w:r w:rsidR="001E23DB">
        <w:t xml:space="preserve"> </w:t>
      </w:r>
      <w:r w:rsidR="003A39EA">
        <w:t>criteria</w:t>
      </w:r>
      <w:r w:rsidRPr="00E5757E">
        <w:t xml:space="preserve"> for </w:t>
      </w:r>
      <w:r w:rsidR="001E23DB">
        <w:t xml:space="preserve">GCD </w:t>
      </w:r>
      <w:r w:rsidRPr="00E5757E">
        <w:t xml:space="preserve">monthly water releases, daily and hourly operating </w:t>
      </w:r>
      <w:r w:rsidR="003A39EA">
        <w:t>limits</w:t>
      </w:r>
      <w:r w:rsidRPr="00E5757E">
        <w:t>, and experimental releases.</w:t>
      </w:r>
      <w:r w:rsidR="003A39EA">
        <w:t xml:space="preserve"> </w:t>
      </w:r>
      <w:r w:rsidR="00E5757E" w:rsidRPr="00E5757E">
        <w:t>This report examines the financial implications of the high-flow experiment (HFE) conducted at GCD during water year (WY) 201</w:t>
      </w:r>
      <w:r w:rsidR="00E5757E">
        <w:t>9</w:t>
      </w:r>
      <w:r w:rsidR="003A39EA">
        <w:t xml:space="preserve"> as required by the LTEMP HFE Protocol</w:t>
      </w:r>
      <w:r w:rsidR="00E5757E" w:rsidRPr="00E5757E">
        <w:t xml:space="preserve">. </w:t>
      </w:r>
      <w:r w:rsidR="003A39EA" w:rsidRPr="005E117D">
        <w:t>I</w:t>
      </w:r>
      <w:r w:rsidR="003A39EA" w:rsidRPr="00207B68">
        <w:t xml:space="preserve">t is the third report </w:t>
      </w:r>
      <w:r w:rsidR="00D61B2E" w:rsidRPr="00E25099">
        <w:t>in</w:t>
      </w:r>
      <w:r w:rsidR="00960D0A" w:rsidRPr="00E25099">
        <w:t xml:space="preserve"> a</w:t>
      </w:r>
      <w:r w:rsidR="00D61B2E" w:rsidRPr="00E25099">
        <w:t xml:space="preserve"> series </w:t>
      </w:r>
      <w:r w:rsidR="001E23DB" w:rsidRPr="005E117D">
        <w:t xml:space="preserve">that described </w:t>
      </w:r>
      <w:r w:rsidR="001E23DB" w:rsidRPr="00207B68">
        <w:t xml:space="preserve">the financial costs of </w:t>
      </w:r>
      <w:r w:rsidR="001E23DB" w:rsidRPr="00B76444">
        <w:t xml:space="preserve">LTEMP experimental releases </w:t>
      </w:r>
      <w:r w:rsidR="003A39EA" w:rsidRPr="002A6147">
        <w:t>since the 2016 ROD was adopted in January 2017 (Reclamation 2016).</w:t>
      </w:r>
      <w:r w:rsidR="00D61B2E" w:rsidRPr="00E25099">
        <w:t xml:space="preserve"> </w:t>
      </w:r>
      <w:r w:rsidR="00243EC7" w:rsidRPr="00E25099">
        <w:t xml:space="preserve">Two </w:t>
      </w:r>
      <w:r w:rsidR="00D61B2E" w:rsidRPr="00E25099">
        <w:t xml:space="preserve">prior </w:t>
      </w:r>
      <w:r w:rsidR="007723A0" w:rsidRPr="00E25099">
        <w:t xml:space="preserve">LTEMP </w:t>
      </w:r>
      <w:r w:rsidR="00243EC7" w:rsidRPr="00E25099">
        <w:t>experimental release</w:t>
      </w:r>
      <w:r w:rsidR="00782227" w:rsidRPr="00E25099">
        <w:t>s</w:t>
      </w:r>
      <w:r w:rsidR="00243EC7" w:rsidRPr="00E25099">
        <w:t xml:space="preserve"> </w:t>
      </w:r>
      <w:r w:rsidR="00D61B2E" w:rsidRPr="00E25099">
        <w:t xml:space="preserve">were analyzed and documented. These include </w:t>
      </w:r>
      <w:r w:rsidR="00960D0A" w:rsidRPr="00E25099">
        <w:t xml:space="preserve">analyzes of the GCD </w:t>
      </w:r>
      <w:r w:rsidR="00D61B2E" w:rsidRPr="00E25099">
        <w:t>HFE</w:t>
      </w:r>
      <w:r w:rsidR="00960D0A" w:rsidRPr="00E25099">
        <w:t xml:space="preserve"> conducted during WY 2017 </w:t>
      </w:r>
      <w:r w:rsidR="00D61B2E" w:rsidRPr="00E25099">
        <w:t xml:space="preserve"> and </w:t>
      </w:r>
      <w:r w:rsidR="00960D0A" w:rsidRPr="00E25099">
        <w:t xml:space="preserve">the </w:t>
      </w:r>
      <w:r w:rsidR="00D61B2E" w:rsidRPr="005E117D">
        <w:t>WY</w:t>
      </w:r>
      <w:r w:rsidR="00D61B2E" w:rsidRPr="00207B68">
        <w:t xml:space="preserve"> 2018 </w:t>
      </w:r>
      <w:r w:rsidR="00D925A4" w:rsidRPr="00E25099">
        <w:t>Macroinvertebrate Production Flow (MPF) experiment (a.k.a., bug f</w:t>
      </w:r>
      <w:r w:rsidR="00D61B2E" w:rsidRPr="00E25099">
        <w:t>low</w:t>
      </w:r>
      <w:r w:rsidR="00D925A4" w:rsidRPr="00E25099">
        <w:t>s)</w:t>
      </w:r>
      <w:r w:rsidR="00D61B2E" w:rsidRPr="00E25099">
        <w:t xml:space="preserve"> </w:t>
      </w:r>
      <w:r w:rsidR="00D61B2E" w:rsidRPr="005E117D">
        <w:t>(Ploussard et al. 2019</w:t>
      </w:r>
      <w:r w:rsidR="00D61B2E" w:rsidRPr="00207B68">
        <w:t>b).</w:t>
      </w:r>
      <w:r w:rsidR="00960D0A" w:rsidRPr="00E25099">
        <w:t xml:space="preserve"> </w:t>
      </w:r>
      <w:r w:rsidR="00D61B2E" w:rsidRPr="00E25099">
        <w:t xml:space="preserve">This is the third ex post LTEMP ROD analysis that described the financial costs of the CY 2019 LTEMP experimental releases. </w:t>
      </w:r>
      <w:r w:rsidR="00D61B2E">
        <w:t xml:space="preserve"> In addition, a fourth experiment, a 2019 bug flow, was conducted under the LTEMP ROD during May, June, July, and August, but has not yet been analyzed.</w:t>
      </w:r>
    </w:p>
    <w:p w:rsidR="00960D0A" w:rsidRPr="00E25099" w:rsidRDefault="00960D0A" w:rsidP="00E25099">
      <w:pPr>
        <w:rPr>
          <w:highlight w:val="yellow"/>
        </w:rPr>
      </w:pPr>
    </w:p>
    <w:p w:rsidR="00E5757E" w:rsidRPr="00E5757E" w:rsidRDefault="00243EC7" w:rsidP="00E25099">
      <w:r w:rsidRPr="00E25099">
        <w:t>This report focuses only on the HFE conducted in November 2018.</w:t>
      </w:r>
      <w:r>
        <w:t xml:space="preserve"> </w:t>
      </w:r>
      <w:r w:rsidR="00E5757E" w:rsidRPr="00E5757E">
        <w:t xml:space="preserve">For this experimental release, financial costs of </w:t>
      </w:r>
      <w:r w:rsidR="00E5757E" w:rsidRPr="004D5CD1">
        <w:t xml:space="preserve">approximately </w:t>
      </w:r>
      <w:r w:rsidR="00E5757E" w:rsidRPr="00E25099">
        <w:t>$1.</w:t>
      </w:r>
      <w:r w:rsidR="00E25099">
        <w:t>31</w:t>
      </w:r>
      <w:r w:rsidR="00E5757E" w:rsidRPr="00E25099">
        <w:t xml:space="preserve"> million</w:t>
      </w:r>
      <w:r w:rsidR="00E5757E" w:rsidRPr="004D5CD1">
        <w:t xml:space="preserve"> were incurred because the HFE required sustained water releases exceeding the power plant’s maximum</w:t>
      </w:r>
      <w:r w:rsidR="00E5757E" w:rsidRPr="00E5757E">
        <w:t xml:space="preserve"> </w:t>
      </w:r>
      <w:r w:rsidR="00750CC3">
        <w:t xml:space="preserve">turbine </w:t>
      </w:r>
      <w:r w:rsidR="00E5757E" w:rsidRPr="00E5757E">
        <w:t>flow rate. In addition, during the experiment, operators were not allowed to shape GCD power production, either to follow firm electric service (FES) customer day-ahead energy deliveries or to respond to market prices.</w:t>
      </w:r>
    </w:p>
    <w:p w:rsidR="00E5757E" w:rsidRPr="00E5757E" w:rsidRDefault="00E5757E" w:rsidP="00E5757E">
      <w:pPr>
        <w:ind w:firstLine="450"/>
      </w:pPr>
    </w:p>
    <w:p w:rsidR="00D925A4" w:rsidRDefault="00E5757E" w:rsidP="00E25099">
      <w:r w:rsidRPr="00E5757E">
        <w:t>This study identifies the main factors contributing to HFE costs and examines the interdependencies among these factors. It applies an integrated set of tools to estimate</w:t>
      </w:r>
      <w:r w:rsidR="00656541">
        <w:t xml:space="preserve"> Western Area Power Administration (WAPA) </w:t>
      </w:r>
      <w:r w:rsidRPr="00E5757E">
        <w:t xml:space="preserve">financial impacts by simulating GCD </w:t>
      </w:r>
      <w:r w:rsidRPr="004D5CD1">
        <w:t xml:space="preserve">under two </w:t>
      </w:r>
      <w:r w:rsidR="004D5CD1" w:rsidRPr="004D5CD1">
        <w:t>types</w:t>
      </w:r>
      <w:r w:rsidR="00E677E9" w:rsidRPr="004D5CD1">
        <w:t xml:space="preserve"> of </w:t>
      </w:r>
      <w:r w:rsidR="00BC2F5A" w:rsidRPr="004D5CD1">
        <w:t>cases</w:t>
      </w:r>
      <w:r w:rsidR="00056C0A">
        <w:t xml:space="preserve">; </w:t>
      </w:r>
      <w:r w:rsidR="00656541">
        <w:t xml:space="preserve">namely, </w:t>
      </w:r>
      <w:r w:rsidR="00056C0A">
        <w:t xml:space="preserve">(1) </w:t>
      </w:r>
      <w:r w:rsidR="00656541">
        <w:t>a</w:t>
      </w:r>
      <w:r w:rsidR="007723A0">
        <w:t xml:space="preserve"> </w:t>
      </w:r>
      <w:r w:rsidRPr="00E5757E">
        <w:t xml:space="preserve"> </w:t>
      </w:r>
      <w:r w:rsidR="00BC2F5A">
        <w:t>Factual</w:t>
      </w:r>
      <w:r w:rsidRPr="00E5757E">
        <w:t xml:space="preserve"> </w:t>
      </w:r>
      <w:r w:rsidR="00BC2F5A">
        <w:t xml:space="preserve">case </w:t>
      </w:r>
      <w:r w:rsidRPr="00E5757E">
        <w:t xml:space="preserve">that </w:t>
      </w:r>
      <w:r w:rsidR="00056C0A">
        <w:t>mimics the operations that actually occurred and (2) a Counterfactual case that s</w:t>
      </w:r>
      <w:r w:rsidR="00D925A4">
        <w:t>imulates</w:t>
      </w:r>
      <w:r w:rsidR="00056C0A">
        <w:t xml:space="preserve"> o</w:t>
      </w:r>
      <w:r w:rsidRPr="00E5757E">
        <w:t xml:space="preserve">perations </w:t>
      </w:r>
      <w:r w:rsidR="00056C0A">
        <w:t>under the assumption that the HFE did not occur. The Factual</w:t>
      </w:r>
      <w:r w:rsidR="00056C0A" w:rsidRPr="00E5757E">
        <w:t xml:space="preserve"> </w:t>
      </w:r>
      <w:r w:rsidR="00056C0A">
        <w:t>case mimics</w:t>
      </w:r>
      <w:r w:rsidR="00D925A4">
        <w:t xml:space="preserve"> operations during </w:t>
      </w:r>
      <w:r w:rsidR="00056C0A">
        <w:t xml:space="preserve">the HFE and </w:t>
      </w:r>
      <w:r w:rsidR="00D925A4">
        <w:t>all of</w:t>
      </w:r>
      <w:r w:rsidRPr="00E5757E">
        <w:t xml:space="preserve"> the </w:t>
      </w:r>
      <w:r w:rsidR="00D925A4">
        <w:t xml:space="preserve">other </w:t>
      </w:r>
      <w:r w:rsidR="00056C0A">
        <w:t>affected months of WY 2019.</w:t>
      </w:r>
      <w:r w:rsidRPr="00E5757E">
        <w:t xml:space="preserve"> </w:t>
      </w:r>
      <w:r w:rsidR="00056C0A">
        <w:t>I</w:t>
      </w:r>
      <w:r w:rsidRPr="00E5757E">
        <w:t>t</w:t>
      </w:r>
      <w:r w:rsidR="00D925A4">
        <w:t xml:space="preserve"> </w:t>
      </w:r>
      <w:r w:rsidR="00656541">
        <w:t>c</w:t>
      </w:r>
      <w:r w:rsidR="00656541" w:rsidRPr="00E5757E">
        <w:t>omplies</w:t>
      </w:r>
      <w:r w:rsidRPr="00E5757E">
        <w:t xml:space="preserve"> with </w:t>
      </w:r>
      <w:r w:rsidR="00656541">
        <w:t>LTEMP</w:t>
      </w:r>
      <w:r w:rsidR="00656541" w:rsidRPr="00E5757E">
        <w:t xml:space="preserve"> </w:t>
      </w:r>
      <w:r w:rsidR="00656541">
        <w:t>hourly and daily operating criteria and</w:t>
      </w:r>
      <w:r w:rsidR="00056C0A">
        <w:t xml:space="preserve"> summertime</w:t>
      </w:r>
      <w:r w:rsidR="007723A0">
        <w:t xml:space="preserve"> bug flow </w:t>
      </w:r>
      <w:r w:rsidR="00D925A4">
        <w:t xml:space="preserve">experiment </w:t>
      </w:r>
      <w:r w:rsidR="007723A0">
        <w:t xml:space="preserve">requirements. </w:t>
      </w:r>
    </w:p>
    <w:p w:rsidR="00D925A4" w:rsidRDefault="00D925A4" w:rsidP="00E25099"/>
    <w:p w:rsidR="00E5757E" w:rsidRDefault="00656541" w:rsidP="00E25099">
      <w:r>
        <w:t>Because of uncertainties regarding GCD monthly water release volume decisions the Bureau of Reclamation (Reclamation) staff would have made had the HFE not occurred, three Counterfactual c</w:t>
      </w:r>
      <w:r w:rsidR="007723A0">
        <w:t>ase</w:t>
      </w:r>
      <w:r>
        <w:t>s</w:t>
      </w:r>
      <w:r w:rsidR="007723A0">
        <w:t xml:space="preserve"> </w:t>
      </w:r>
      <w:r>
        <w:t xml:space="preserve">were examined. </w:t>
      </w:r>
      <w:r w:rsidR="001C1ED9">
        <w:t>All</w:t>
      </w:r>
      <w:r w:rsidR="007723A0">
        <w:t xml:space="preserve"> </w:t>
      </w:r>
      <w:r w:rsidR="004D5CD1" w:rsidRPr="004D5CD1">
        <w:t>three</w:t>
      </w:r>
      <w:r w:rsidR="00E677E9" w:rsidRPr="004D5CD1">
        <w:t xml:space="preserve"> </w:t>
      </w:r>
      <w:r w:rsidR="00BC2F5A" w:rsidRPr="004D5CD1">
        <w:t>C</w:t>
      </w:r>
      <w:r w:rsidR="00E5757E" w:rsidRPr="004D5CD1">
        <w:t xml:space="preserve">ounterfactual </w:t>
      </w:r>
      <w:r w:rsidR="00BC2F5A" w:rsidRPr="004D5CD1">
        <w:t>case</w:t>
      </w:r>
      <w:r w:rsidR="00E677E9" w:rsidRPr="004D5CD1">
        <w:t>s</w:t>
      </w:r>
      <w:r w:rsidR="00E5757E" w:rsidRPr="004D5CD1">
        <w:t xml:space="preserve"> as</w:t>
      </w:r>
      <w:r w:rsidR="004D5CD1" w:rsidRPr="004D5CD1">
        <w:t>sume that the HFE did not occur</w:t>
      </w:r>
      <w:r w:rsidR="001C1ED9">
        <w:t xml:space="preserve">. Each, however, assumes different monthly water releases volumes; that is, under the Counterfactual case less water is released in </w:t>
      </w:r>
      <w:r w:rsidR="004D5CD1" w:rsidRPr="004D5CD1">
        <w:t xml:space="preserve">November </w:t>
      </w:r>
      <w:r w:rsidR="001C1ED9">
        <w:t>and reallocated to late spring/early</w:t>
      </w:r>
      <w:r w:rsidR="00056C0A">
        <w:t xml:space="preserve"> </w:t>
      </w:r>
      <w:r w:rsidR="001C1ED9">
        <w:t>summer</w:t>
      </w:r>
      <w:r w:rsidR="00D925A4">
        <w:t xml:space="preserve"> months</w:t>
      </w:r>
      <w:r w:rsidR="001C1ED9">
        <w:t xml:space="preserve"> (i.e.</w:t>
      </w:r>
      <w:r w:rsidR="00D925A4">
        <w:t xml:space="preserve">, </w:t>
      </w:r>
      <w:r w:rsidR="00D925A4" w:rsidRPr="004D5CD1">
        <w:t>March</w:t>
      </w:r>
      <w:r w:rsidR="004D5CD1" w:rsidRPr="004D5CD1">
        <w:t>, April, and May</w:t>
      </w:r>
      <w:r w:rsidR="001C1ED9">
        <w:t>)</w:t>
      </w:r>
      <w:r w:rsidR="004D5CD1" w:rsidRPr="004D5CD1">
        <w:t>.</w:t>
      </w:r>
      <w:r w:rsidR="004D5CD1">
        <w:t xml:space="preserve"> </w:t>
      </w:r>
      <w:r w:rsidR="00243EC7" w:rsidRPr="00E25099">
        <w:t xml:space="preserve">Because this report aims to isolate the HFE costs from the cost of other experiments, the </w:t>
      </w:r>
      <w:r w:rsidR="00D925A4">
        <w:t>summertime B</w:t>
      </w:r>
      <w:r w:rsidR="00243EC7" w:rsidRPr="00E25099">
        <w:t xml:space="preserve">ug </w:t>
      </w:r>
      <w:r w:rsidR="00D925A4">
        <w:t>F</w:t>
      </w:r>
      <w:r w:rsidR="00243EC7" w:rsidRPr="00E25099">
        <w:t>low experiment was assumed to occur in all Factual and Counterfactual cases</w:t>
      </w:r>
    </w:p>
    <w:p w:rsidR="00155DF2" w:rsidRPr="00E5757E" w:rsidRDefault="00155DF2" w:rsidP="00E5757E">
      <w:pPr>
        <w:ind w:firstLine="450"/>
      </w:pPr>
    </w:p>
    <w:p w:rsidR="005B07C7" w:rsidRDefault="00E5757E" w:rsidP="00E25099">
      <w:r w:rsidRPr="00E5757E">
        <w:t>The Generation and Transmission Maximization Superlite (GTMax</w:t>
      </w:r>
      <w:r w:rsidR="00155DF2">
        <w:t xml:space="preserve"> </w:t>
      </w:r>
      <w:r w:rsidRPr="00E5757E">
        <w:t xml:space="preserve">SL) model was the main </w:t>
      </w:r>
      <w:r w:rsidR="00155DF2">
        <w:t xml:space="preserve">modeling </w:t>
      </w:r>
      <w:r w:rsidRPr="00E5757E">
        <w:t>tool used to simulate the dispatch of the GCD hydropower plant and associated</w:t>
      </w:r>
      <w:r w:rsidRPr="00E5757E" w:rsidDel="00613D7D">
        <w:t xml:space="preserve"> </w:t>
      </w:r>
      <w:r w:rsidRPr="00E5757E">
        <w:t>water releases from Lake Powell.</w:t>
      </w:r>
      <w:r w:rsidRPr="00E5757E" w:rsidDel="00613D7D">
        <w:t xml:space="preserve"> </w:t>
      </w:r>
      <w:r w:rsidRPr="00E5757E">
        <w:t>GCD is a Colorado River Storage Project (CRSP) power resource that is a component of</w:t>
      </w:r>
      <w:r w:rsidRPr="00E5757E" w:rsidDel="00613D7D">
        <w:t xml:space="preserve"> </w:t>
      </w:r>
      <w:r w:rsidRPr="00E5757E">
        <w:t>the Salt Lake City Area Integrated Projects (SLCA/IP). In the modeling process the research team used extensive data sets and historical information on SLCA/IP power plant characteristics, hydrologic conditions, and WAPA’s power purchase</w:t>
      </w:r>
      <w:r w:rsidR="005E117D">
        <w:t>s</w:t>
      </w:r>
      <w:r w:rsidRPr="00E5757E">
        <w:t xml:space="preserve"> and sale</w:t>
      </w:r>
      <w:r w:rsidR="005E117D">
        <w:t>s</w:t>
      </w:r>
      <w:r w:rsidRPr="00E5757E">
        <w:t xml:space="preserve"> prices. In addition to estimating the financial impact of the HFE, the team used the GTMax</w:t>
      </w:r>
      <w:r w:rsidR="00155DF2">
        <w:t xml:space="preserve"> </w:t>
      </w:r>
      <w:r w:rsidRPr="00E5757E">
        <w:t xml:space="preserve">SL model to gain insights into the interplay among ROD operating criteria, exceptions made to criteria to accommodate the </w:t>
      </w:r>
      <w:r w:rsidR="00155DF2">
        <w:t>HFE</w:t>
      </w:r>
      <w:r w:rsidRPr="00E5757E">
        <w:t>, and WAPA operating practices.</w:t>
      </w:r>
    </w:p>
    <w:p w:rsidR="00EB2BA0" w:rsidRDefault="00EB2BA0" w:rsidP="00EB2BA0"/>
    <w:p w:rsidR="00EB2BA0" w:rsidRDefault="00EB2BA0">
      <w:pPr>
        <w:spacing w:line="240" w:lineRule="auto"/>
        <w:jc w:val="left"/>
      </w:pPr>
      <w:r>
        <w:br w:type="page"/>
      </w:r>
    </w:p>
    <w:p w:rsidR="00EB2BA0" w:rsidRDefault="00EB2BA0" w:rsidP="00EB2BA0">
      <w:pPr>
        <w:pStyle w:val="Heading1"/>
        <w:ind w:left="360" w:hanging="360"/>
        <w:jc w:val="left"/>
      </w:pPr>
      <w:bookmarkStart w:id="12" w:name="_Ref17466949"/>
      <w:bookmarkStart w:id="13" w:name="_Toc19196958"/>
      <w:r>
        <w:t>Introduction</w:t>
      </w:r>
      <w:bookmarkEnd w:id="12"/>
      <w:bookmarkEnd w:id="13"/>
    </w:p>
    <w:p w:rsidR="00EB2BA0" w:rsidRDefault="00EB2BA0" w:rsidP="00EB2BA0"/>
    <w:p w:rsidR="0056037B" w:rsidRDefault="00B71247" w:rsidP="0056037B">
      <w:r>
        <w:t xml:space="preserve">The </w:t>
      </w:r>
      <w:r w:rsidR="00155DF2">
        <w:t>Glen Canyon Dam (</w:t>
      </w:r>
      <w:r w:rsidR="0056037B">
        <w:t>GCD</w:t>
      </w:r>
      <w:r w:rsidR="00155DF2">
        <w:t>)</w:t>
      </w:r>
      <w:r w:rsidR="0056037B">
        <w:t xml:space="preserve"> </w:t>
      </w:r>
      <w:r w:rsidR="00155DF2">
        <w:t xml:space="preserve">Powerplant </w:t>
      </w:r>
      <w:r w:rsidR="0056037B">
        <w:t>(</w:t>
      </w:r>
      <w:r>
        <w:t>referred to as the</w:t>
      </w:r>
      <w:r w:rsidR="0056037B">
        <w:t xml:space="preserve"> Powerplant</w:t>
      </w:r>
      <w:r>
        <w:t xml:space="preserve"> in this report</w:t>
      </w:r>
      <w:r w:rsidR="0056037B">
        <w:t xml:space="preserve">) </w:t>
      </w:r>
      <w:r w:rsidR="0056037B" w:rsidRPr="00CC0634">
        <w:t xml:space="preserve">consists of eight generating units with a </w:t>
      </w:r>
      <w:r w:rsidR="0056037B">
        <w:t>continuous operating capacity of 1,320 megawatts (</w:t>
      </w:r>
      <w:r w:rsidR="0056037B" w:rsidRPr="008B0AB4">
        <w:t>MW) at unity power factor.</w:t>
      </w:r>
      <w:r w:rsidR="0056037B">
        <w:t xml:space="preserve"> It is </w:t>
      </w:r>
      <w:r w:rsidR="00D748EC">
        <w:t>the largest component</w:t>
      </w:r>
      <w:r w:rsidR="0056037B">
        <w:t xml:space="preserve"> of </w:t>
      </w:r>
      <w:r w:rsidR="00D748EC">
        <w:t xml:space="preserve">a </w:t>
      </w:r>
      <w:r w:rsidR="0056037B">
        <w:t xml:space="preserve">system </w:t>
      </w:r>
      <w:r w:rsidR="00D748EC">
        <w:t xml:space="preserve">of coordinated resources </w:t>
      </w:r>
      <w:r w:rsidR="0056037B">
        <w:t xml:space="preserve">known as </w:t>
      </w:r>
      <w:r w:rsidR="00155DF2">
        <w:t xml:space="preserve">the </w:t>
      </w:r>
      <w:r w:rsidR="00155DF2" w:rsidRPr="00E5757E">
        <w:t xml:space="preserve">Salt Lake City Area Integrated Projects </w:t>
      </w:r>
      <w:r w:rsidR="00155DF2">
        <w:t>(</w:t>
      </w:r>
      <w:r w:rsidR="0056037B">
        <w:t>SLCA/IP</w:t>
      </w:r>
      <w:r w:rsidR="00D748EC">
        <w:t xml:space="preserve">) that </w:t>
      </w:r>
      <w:r w:rsidR="0056037B">
        <w:t>serves the demand of 5.8 million consumers in 10 western states located in the Western Interconnection (WI). In the early days of its operation, the Powerplant had few restrictions. Except for a minimum water release requirement, the daily and hourly operations of the Powerplant were</w:t>
      </w:r>
      <w:r w:rsidR="0056037B" w:rsidRPr="0052616A">
        <w:t xml:space="preserve"> </w:t>
      </w:r>
      <w:r w:rsidR="0056037B">
        <w:t xml:space="preserve">initially constrained only by the physical limitations of the dam structures, the Powerplant, and </w:t>
      </w:r>
      <w:r>
        <w:t xml:space="preserve">the </w:t>
      </w:r>
      <w:r w:rsidR="00155DF2">
        <w:t>water</w:t>
      </w:r>
      <w:r w:rsidR="0056037B">
        <w:t xml:space="preserve"> storage </w:t>
      </w:r>
      <w:r>
        <w:t xml:space="preserve">level in </w:t>
      </w:r>
      <w:r w:rsidR="009F41B6">
        <w:t>Lake Powell</w:t>
      </w:r>
      <w:r>
        <w:t>, the GCD reservoir</w:t>
      </w:r>
      <w:r w:rsidR="009F41B6">
        <w:t>. The Powerplant</w:t>
      </w:r>
      <w:r w:rsidR="0056037B">
        <w:t xml:space="preserve"> dispatch was principally driven by CRSP loads and market price signals, which often resulted in large fluctuations in Powerplant output and associated </w:t>
      </w:r>
      <w:r w:rsidR="00D748EC">
        <w:t xml:space="preserve">reservoir </w:t>
      </w:r>
      <w:r w:rsidR="0056037B">
        <w:t>water releases.</w:t>
      </w:r>
    </w:p>
    <w:p w:rsidR="0056037B" w:rsidRDefault="0056037B" w:rsidP="0056037B"/>
    <w:p w:rsidR="00996D17" w:rsidRDefault="0056037B" w:rsidP="0056037B">
      <w:r>
        <w:t xml:space="preserve">Concerns about the impact of GCD operations on downstream ecosystems and endangered species, including those in Grand Canyon National Park, prompted the Bureau of Reclamation (Reclamation) to conduct a series of research releases from June 1990 to July 1991 as part of an environmental studies program. </w:t>
      </w:r>
      <w:r w:rsidR="00D748EC">
        <w:t>Based on</w:t>
      </w:r>
      <w:r>
        <w:t xml:space="preserve"> </w:t>
      </w:r>
      <w:r w:rsidR="00D748EC">
        <w:t>impact</w:t>
      </w:r>
      <w:r>
        <w:t xml:space="preserve"> analys</w:t>
      </w:r>
      <w:r w:rsidR="00D748EC">
        <w:t>e</w:t>
      </w:r>
      <w:r>
        <w:t xml:space="preserve">s of these releases, Reclamation imposed operational flow constraints on August 1, </w:t>
      </w:r>
      <w:r w:rsidRPr="004D5CD1">
        <w:t>1991 (WAPA 2010). These constraints</w:t>
      </w:r>
      <w:r>
        <w:t xml:space="preserve"> were </w:t>
      </w:r>
      <w:r w:rsidR="004B1B4F">
        <w:t>implemented</w:t>
      </w:r>
      <w:r w:rsidR="00155DF2">
        <w:t xml:space="preserve"> </w:t>
      </w:r>
      <w:r w:rsidR="004B1B4F">
        <w:t xml:space="preserve">through </w:t>
      </w:r>
      <w:r>
        <w:t>February </w:t>
      </w:r>
      <w:r w:rsidRPr="004D5CD1">
        <w:t>1997, when new operational rules and management goals specified in the Glen Canyon Dam Environmental Impact Statement (GCDEIS) ROD were adopted (Reclamation 1996). The</w:t>
      </w:r>
      <w:r>
        <w:t xml:space="preserve"> </w:t>
      </w:r>
      <w:r w:rsidR="004B1B4F">
        <w:t>1996-ROD</w:t>
      </w:r>
      <w:r>
        <w:t xml:space="preserve"> operating criteria, which implement the </w:t>
      </w:r>
      <w:r w:rsidR="00B71247">
        <w:t>monthly low fluctuating flow (</w:t>
      </w:r>
      <w:r>
        <w:t>MLFF</w:t>
      </w:r>
      <w:r w:rsidR="00B71247">
        <w:t>)</w:t>
      </w:r>
      <w:r>
        <w:t xml:space="preserve"> regime, limit</w:t>
      </w:r>
      <w:r w:rsidR="004B1B4F">
        <w:t>ed</w:t>
      </w:r>
      <w:r>
        <w:t xml:space="preserve"> hourly maximum and minimum water release volumes from the dam. The 1996 ROD criteria also constrain the change in the water release between consecutive hours and </w:t>
      </w:r>
      <w:r w:rsidR="00D748EC">
        <w:t xml:space="preserve">implemented a daily change limit that </w:t>
      </w:r>
      <w:r>
        <w:t>restrict the range of hourly releases on a rolling 24-hour basis.</w:t>
      </w:r>
      <w:r w:rsidR="00B71247">
        <w:t xml:space="preserve"> </w:t>
      </w:r>
    </w:p>
    <w:p w:rsidR="00996D17" w:rsidRDefault="00996D17" w:rsidP="0056037B"/>
    <w:p w:rsidR="00207B68" w:rsidRDefault="00996D17" w:rsidP="0056037B">
      <w:r>
        <w:t xml:space="preserve">1996 ROD </w:t>
      </w:r>
      <w:r w:rsidR="00B71247">
        <w:t>restrictions were eventually replaced by criteria specified under the</w:t>
      </w:r>
      <w:r w:rsidR="009E1CD2">
        <w:t xml:space="preserve"> </w:t>
      </w:r>
      <w:r w:rsidR="009E1CD2" w:rsidRPr="00E5757E">
        <w:t>Long-Term Experimental and Management Plan (LTEMP)</w:t>
      </w:r>
      <w:r w:rsidR="009E1CD2">
        <w:t xml:space="preserve"> R</w:t>
      </w:r>
      <w:r w:rsidR="00B71247">
        <w:t>OD</w:t>
      </w:r>
      <w:r w:rsidR="009E1CD2">
        <w:t xml:space="preserve"> that was phased in during calendar year 2017. </w:t>
      </w:r>
      <w:r>
        <w:t xml:space="preserve"> It required changes</w:t>
      </w:r>
      <w:r w:rsidR="00207B68">
        <w:t xml:space="preserve"> to</w:t>
      </w:r>
      <w:r>
        <w:t xml:space="preserve"> (1) </w:t>
      </w:r>
      <w:r w:rsidR="00207B68">
        <w:t xml:space="preserve">the </w:t>
      </w:r>
      <w:r>
        <w:t>allocation of monthl</w:t>
      </w:r>
      <w:r w:rsidR="00207B68">
        <w:t>y Lake Powell</w:t>
      </w:r>
      <w:r>
        <w:t xml:space="preserve"> water releases, (2) daily and hourly operating criteria, and (3) experiments that are periodically conducted at GCD. </w:t>
      </w:r>
      <w:r w:rsidR="00207B68">
        <w:t xml:space="preserve">Limitation do not allow Powerplant operators to fully utilize GCD water and hydropower resources when it is has the most valuable resulting in grid economic costs in terms of both firm capacity and energy production. </w:t>
      </w:r>
    </w:p>
    <w:p w:rsidR="00207B68" w:rsidRDefault="00207B68" w:rsidP="0056037B"/>
    <w:p w:rsidR="009E1CD2" w:rsidRDefault="00D748EC" w:rsidP="0056037B">
      <w:r>
        <w:t>In the first p</w:t>
      </w:r>
      <w:r w:rsidR="008F60DD">
        <w:t>hase that began on January 1,</w:t>
      </w:r>
      <w:r w:rsidR="008F60DD" w:rsidRPr="008F60DD">
        <w:rPr>
          <w:vertAlign w:val="superscript"/>
        </w:rPr>
        <w:t xml:space="preserve"> </w:t>
      </w:r>
      <w:r w:rsidR="008F60DD">
        <w:t>2017,</w:t>
      </w:r>
      <w:r>
        <w:t xml:space="preserve"> </w:t>
      </w:r>
      <w:r w:rsidR="009E1CD2">
        <w:t xml:space="preserve">LTEMP </w:t>
      </w:r>
      <w:r w:rsidR="008F60DD">
        <w:t>altered</w:t>
      </w:r>
      <w:r w:rsidR="009E1CD2">
        <w:t xml:space="preserve"> monthly </w:t>
      </w:r>
      <w:r w:rsidR="008F60DD">
        <w:t>Lake Powell</w:t>
      </w:r>
      <w:r w:rsidR="009E1CD2">
        <w:t xml:space="preserve"> water release volumes</w:t>
      </w:r>
      <w:r w:rsidR="008F60DD">
        <w:t>. GCD, hourly</w:t>
      </w:r>
      <w:r w:rsidR="009E1CD2">
        <w:t xml:space="preserve"> and daily operating criteria</w:t>
      </w:r>
      <w:r w:rsidR="008F60DD">
        <w:t xml:space="preserve"> were implement in a second phase that began on October 1, 2017 (i.e., the first day of WY 2018). </w:t>
      </w:r>
      <w:r w:rsidR="00996D17">
        <w:t>LTEMP experiments were conducted in both WY 2017 and 2018.</w:t>
      </w:r>
    </w:p>
    <w:p w:rsidR="0056037B" w:rsidRDefault="0056037B" w:rsidP="0056037B"/>
    <w:p w:rsidR="0056037B" w:rsidRDefault="0056037B" w:rsidP="0056037B">
      <w:r>
        <w:t>The Glen Canyon Dam Adaptive Management Program, established by the GCDEIS ROD</w:t>
      </w:r>
      <w:r w:rsidRPr="00A9327E">
        <w:t xml:space="preserve"> </w:t>
      </w:r>
      <w:r>
        <w:t>(Reclamation 1996), conducts scientific studies on the relationship between Powerplant operations and downstream resources. Experimental water releases are performed periodically to monitor river conditions, conduct specific studies, enhance native fish habitat, and conserve fine sediment in the Colorado River corridor in Grand Canyon National Park.</w:t>
      </w:r>
    </w:p>
    <w:p w:rsidR="0056037B" w:rsidRDefault="0056037B" w:rsidP="0056037B"/>
    <w:p w:rsidR="0056037B" w:rsidRDefault="0056037B" w:rsidP="0056037B">
      <w:r>
        <w:t>This report follows several other financial analyses of GCD experiments that began</w:t>
      </w:r>
      <w:r w:rsidRPr="002F6082">
        <w:t xml:space="preserve"> in 1997</w:t>
      </w:r>
      <w:r>
        <w:t>. These experiments and their associated financial analyses, in chronological order, are as follows:</w:t>
      </w:r>
    </w:p>
    <w:p w:rsidR="0056037B" w:rsidRDefault="0056037B" w:rsidP="0056037B"/>
    <w:p w:rsidR="0056037B" w:rsidRPr="002B0E89" w:rsidRDefault="0056037B" w:rsidP="0056037B">
      <w:pPr>
        <w:pStyle w:val="ListParagraph"/>
        <w:numPr>
          <w:ilvl w:val="0"/>
          <w:numId w:val="32"/>
        </w:numPr>
        <w:jc w:val="left"/>
      </w:pPr>
      <w:r w:rsidRPr="002B0E89">
        <w:t>Calendar year (CY) 1997</w:t>
      </w:r>
      <w:r>
        <w:t>–</w:t>
      </w:r>
      <w:r w:rsidRPr="002B0E89">
        <w:t xml:space="preserve">2005 experiments </w:t>
      </w:r>
      <w:r>
        <w:t xml:space="preserve">were </w:t>
      </w:r>
      <w:r w:rsidRPr="002B0E89">
        <w:t xml:space="preserve">reported in </w:t>
      </w:r>
      <w:r w:rsidRPr="002B0E89">
        <w:rPr>
          <w:i/>
        </w:rPr>
        <w:t xml:space="preserve">Revised Financial Analysis of Experimental Releases Conducted at Glen Canyon Dam during Water Years 1997 through 2005 </w:t>
      </w:r>
      <w:r w:rsidRPr="002B0E89">
        <w:t>(Veselka et al. 2011);</w:t>
      </w:r>
    </w:p>
    <w:p w:rsidR="0056037B" w:rsidRPr="002B0E89" w:rsidRDefault="0056037B" w:rsidP="0056037B">
      <w:pPr>
        <w:pStyle w:val="ListParagraph"/>
        <w:numPr>
          <w:ilvl w:val="0"/>
          <w:numId w:val="32"/>
        </w:numPr>
        <w:jc w:val="left"/>
      </w:pPr>
      <w:r w:rsidRPr="002B0E89">
        <w:t>CY 2006</w:t>
      </w:r>
      <w:r>
        <w:t>–</w:t>
      </w:r>
      <w:r w:rsidRPr="002B0E89">
        <w:t xml:space="preserve">2010 experiments were reported in </w:t>
      </w:r>
      <w:r w:rsidRPr="002B0E89">
        <w:rPr>
          <w:i/>
        </w:rPr>
        <w:t>Financial Analysis of Experimental Releases Conducted at Glen Canyon Dam during Water Years 2006 through 2010</w:t>
      </w:r>
      <w:r w:rsidRPr="002B0E89">
        <w:t xml:space="preserve"> (Poch et al. 2011); </w:t>
      </w:r>
    </w:p>
    <w:p w:rsidR="0056037B" w:rsidRPr="002B0E89" w:rsidRDefault="0056037B" w:rsidP="0056037B">
      <w:pPr>
        <w:pStyle w:val="ListParagraph"/>
        <w:numPr>
          <w:ilvl w:val="0"/>
          <w:numId w:val="32"/>
        </w:numPr>
        <w:jc w:val="left"/>
      </w:pPr>
      <w:r w:rsidRPr="002B0E89">
        <w:t xml:space="preserve">WY 2011 </w:t>
      </w:r>
      <w:r>
        <w:t xml:space="preserve">experiments </w:t>
      </w:r>
      <w:r w:rsidRPr="002B0E89">
        <w:t xml:space="preserve">were reported in </w:t>
      </w:r>
      <w:r w:rsidRPr="002B0E89">
        <w:rPr>
          <w:i/>
        </w:rPr>
        <w:t>Financial Analysis of Experimental Releases Conducted at Glen Canyon Dam during Water Year 2011</w:t>
      </w:r>
      <w:r w:rsidRPr="002B0E89">
        <w:t xml:space="preserve"> (Poch et al. 2012);</w:t>
      </w:r>
    </w:p>
    <w:p w:rsidR="0056037B" w:rsidRPr="002B0E89" w:rsidRDefault="0056037B" w:rsidP="0056037B">
      <w:pPr>
        <w:pStyle w:val="ListParagraph"/>
        <w:numPr>
          <w:ilvl w:val="0"/>
          <w:numId w:val="32"/>
        </w:numPr>
        <w:jc w:val="left"/>
      </w:pPr>
      <w:r w:rsidRPr="002B0E89">
        <w:t>WY</w:t>
      </w:r>
      <w:r>
        <w:t xml:space="preserve"> </w:t>
      </w:r>
      <w:r w:rsidRPr="002B0E89">
        <w:t xml:space="preserve">2012 </w:t>
      </w:r>
      <w:r>
        <w:t xml:space="preserve">experiments </w:t>
      </w:r>
      <w:r w:rsidRPr="002B0E89">
        <w:t xml:space="preserve">were reported in </w:t>
      </w:r>
      <w:r w:rsidRPr="002B0E89">
        <w:rPr>
          <w:i/>
        </w:rPr>
        <w:t>Financial Analysis of Experimental Releases Conducted at Glen Canyon Dam during Water Year 2012</w:t>
      </w:r>
      <w:r w:rsidRPr="002B0E89">
        <w:t xml:space="preserve"> (Poch et al. 2013); </w:t>
      </w:r>
    </w:p>
    <w:p w:rsidR="0056037B" w:rsidRPr="002B0E89" w:rsidRDefault="0056037B" w:rsidP="0056037B">
      <w:pPr>
        <w:pStyle w:val="ListParagraph"/>
        <w:numPr>
          <w:ilvl w:val="0"/>
          <w:numId w:val="32"/>
        </w:numPr>
        <w:jc w:val="left"/>
      </w:pPr>
      <w:r w:rsidRPr="002B0E89">
        <w:t>WY</w:t>
      </w:r>
      <w:r>
        <w:t xml:space="preserve"> </w:t>
      </w:r>
      <w:r w:rsidRPr="002B0E89">
        <w:t xml:space="preserve">2013 experiments were reported in </w:t>
      </w:r>
      <w:r w:rsidRPr="002B0E89">
        <w:rPr>
          <w:i/>
        </w:rPr>
        <w:t>Financial Analysis of Experimental Releases Conducted at Glen Canyon Dam during Water Year 2013</w:t>
      </w:r>
      <w:r w:rsidRPr="002B0E89">
        <w:t xml:space="preserve"> (Graziano et al. 2014);</w:t>
      </w:r>
    </w:p>
    <w:p w:rsidR="0056037B" w:rsidRPr="002B0E89" w:rsidRDefault="0056037B" w:rsidP="0056037B">
      <w:pPr>
        <w:pStyle w:val="ListParagraph"/>
        <w:numPr>
          <w:ilvl w:val="0"/>
          <w:numId w:val="32"/>
        </w:numPr>
        <w:jc w:val="left"/>
      </w:pPr>
      <w:r w:rsidRPr="002B0E89">
        <w:t>WY</w:t>
      </w:r>
      <w:r>
        <w:t xml:space="preserve"> </w:t>
      </w:r>
      <w:r w:rsidRPr="002B0E89">
        <w:t xml:space="preserve">2014 experiments were reported in </w:t>
      </w:r>
      <w:r w:rsidRPr="002B0E89">
        <w:rPr>
          <w:i/>
        </w:rPr>
        <w:t>Financial Analysis of Experimental Releases Conducted at Glen Canyon Dam during Water Year 2014</w:t>
      </w:r>
      <w:r w:rsidRPr="002B0E89">
        <w:t xml:space="preserve"> (Graziano et al. 2015);</w:t>
      </w:r>
      <w:r>
        <w:t xml:space="preserve"> and,</w:t>
      </w:r>
      <w:r w:rsidRPr="002B0E89">
        <w:t xml:space="preserve"> </w:t>
      </w:r>
    </w:p>
    <w:p w:rsidR="0056037B" w:rsidRDefault="0056037B" w:rsidP="0056037B">
      <w:pPr>
        <w:pStyle w:val="ListParagraph"/>
        <w:numPr>
          <w:ilvl w:val="0"/>
          <w:numId w:val="32"/>
        </w:numPr>
        <w:jc w:val="left"/>
      </w:pPr>
      <w:r w:rsidRPr="002B0E89">
        <w:t>WY</w:t>
      </w:r>
      <w:r>
        <w:t xml:space="preserve"> </w:t>
      </w:r>
      <w:r w:rsidRPr="002B0E89">
        <w:t xml:space="preserve">2015 experiments were reported in </w:t>
      </w:r>
      <w:r w:rsidRPr="002B0E89">
        <w:rPr>
          <w:i/>
        </w:rPr>
        <w:t>Financial Analysis of Experimental Releases Conducted at Glen Canyon Dam during Water Year 2015</w:t>
      </w:r>
      <w:r w:rsidRPr="002B0E89">
        <w:t xml:space="preserve"> (Graziano et al. 2016)</w:t>
      </w:r>
      <w:r>
        <w:t>.</w:t>
      </w:r>
    </w:p>
    <w:p w:rsidR="0061684B" w:rsidRDefault="0061684B" w:rsidP="0061684B">
      <w:pPr>
        <w:pStyle w:val="ListParagraph"/>
        <w:numPr>
          <w:ilvl w:val="0"/>
          <w:numId w:val="32"/>
        </w:numPr>
        <w:jc w:val="left"/>
      </w:pPr>
      <w:r w:rsidRPr="002B0E89">
        <w:t>WY</w:t>
      </w:r>
      <w:r>
        <w:t xml:space="preserve"> 2017</w:t>
      </w:r>
      <w:r w:rsidRPr="002B0E89">
        <w:t xml:space="preserve"> experiments were reported in </w:t>
      </w:r>
      <w:r w:rsidRPr="0061684B">
        <w:rPr>
          <w:i/>
        </w:rPr>
        <w:t>Financial Analysis of Experimental Releases Conducted at Glen Canyon Dam during Water Year 2017</w:t>
      </w:r>
      <w:r w:rsidRPr="002B0E89">
        <w:t xml:space="preserve"> (</w:t>
      </w:r>
      <w:r>
        <w:t>Ploussard et al. 2019</w:t>
      </w:r>
      <w:r w:rsidR="004C5DC1">
        <w:t>a</w:t>
      </w:r>
      <w:r w:rsidRPr="002B0E89">
        <w:t>)</w:t>
      </w:r>
      <w:r>
        <w:t>.</w:t>
      </w:r>
    </w:p>
    <w:p w:rsidR="0061684B" w:rsidRDefault="0061684B" w:rsidP="0061684B">
      <w:pPr>
        <w:pStyle w:val="ListParagraph"/>
        <w:numPr>
          <w:ilvl w:val="0"/>
          <w:numId w:val="32"/>
        </w:numPr>
        <w:jc w:val="left"/>
      </w:pPr>
      <w:r w:rsidRPr="002B0E89">
        <w:t>WY</w:t>
      </w:r>
      <w:r>
        <w:t xml:space="preserve"> 2018</w:t>
      </w:r>
      <w:r w:rsidRPr="002B0E89">
        <w:t xml:space="preserve"> experiments were reported in </w:t>
      </w:r>
      <w:r w:rsidRPr="0061684B">
        <w:rPr>
          <w:i/>
        </w:rPr>
        <w:t>Financial Analysis of the 2018 Glen Canyon Dam Bug Flow Experiment</w:t>
      </w:r>
      <w:r>
        <w:t xml:space="preserve"> (Ploussard et al. 2019</w:t>
      </w:r>
      <w:r w:rsidR="004C5DC1">
        <w:t>b</w:t>
      </w:r>
      <w:r w:rsidRPr="002B0E89">
        <w:t>)</w:t>
      </w:r>
      <w:r>
        <w:t>.</w:t>
      </w:r>
    </w:p>
    <w:p w:rsidR="0056037B" w:rsidRDefault="0056037B" w:rsidP="0056037B">
      <w:r w:rsidDel="008D6CAA">
        <w:t xml:space="preserve"> </w:t>
      </w:r>
    </w:p>
    <w:p w:rsidR="00BD28CA" w:rsidRDefault="008C3AAE" w:rsidP="00E25099">
      <w:pPr>
        <w:ind w:left="3"/>
      </w:pPr>
      <w:r w:rsidRPr="00E25099">
        <w:t xml:space="preserve">The </w:t>
      </w:r>
      <w:r w:rsidR="008F60DD">
        <w:t>WY 2017 and WY 2018 reports</w:t>
      </w:r>
      <w:r w:rsidRPr="00E25099">
        <w:t xml:space="preserve"> </w:t>
      </w:r>
      <w:r w:rsidR="003D3CD8">
        <w:t xml:space="preserve">listed </w:t>
      </w:r>
      <w:r w:rsidR="00341CCB" w:rsidRPr="00E25099">
        <w:t xml:space="preserve">above describe analyses </w:t>
      </w:r>
      <w:r w:rsidR="008F60DD" w:rsidRPr="008F60DD">
        <w:t>of the</w:t>
      </w:r>
      <w:r w:rsidR="003D3CD8">
        <w:t xml:space="preserve"> first</w:t>
      </w:r>
      <w:r w:rsidR="008F60DD" w:rsidRPr="008F60DD">
        <w:t xml:space="preserve"> </w:t>
      </w:r>
      <w:r w:rsidR="00D61B2E" w:rsidRPr="00E25099">
        <w:t xml:space="preserve">two experiments </w:t>
      </w:r>
      <w:r w:rsidR="00341CCB" w:rsidRPr="00E25099">
        <w:t xml:space="preserve">that </w:t>
      </w:r>
      <w:r w:rsidRPr="00E25099">
        <w:t xml:space="preserve">were conducted </w:t>
      </w:r>
      <w:r w:rsidR="003D3CD8">
        <w:t xml:space="preserve">under the </w:t>
      </w:r>
      <w:r w:rsidR="003D3CD8" w:rsidRPr="003D3CD8">
        <w:t>LTEMP</w:t>
      </w:r>
      <w:r w:rsidR="00341CCB" w:rsidRPr="00E25099">
        <w:t xml:space="preserve"> ROD</w:t>
      </w:r>
      <w:r w:rsidR="003D3CD8">
        <w:t>.</w:t>
      </w:r>
      <w:r w:rsidR="00341CCB" w:rsidRPr="00E25099">
        <w:t xml:space="preserve"> </w:t>
      </w:r>
      <w:r w:rsidR="00F01201" w:rsidRPr="008F60DD">
        <w:t xml:space="preserve">This is the third </w:t>
      </w:r>
      <w:r w:rsidR="00341CCB" w:rsidRPr="00E25099">
        <w:t>ex post LTEMP ROD analysis</w:t>
      </w:r>
      <w:r w:rsidR="00F01201" w:rsidRPr="008F60DD">
        <w:t xml:space="preserve"> that described the financial costs of </w:t>
      </w:r>
      <w:r w:rsidR="00D61B2E" w:rsidRPr="00E25099">
        <w:t xml:space="preserve">the </w:t>
      </w:r>
      <w:r w:rsidR="00341CCB" w:rsidRPr="00E25099">
        <w:t xml:space="preserve">CY 2019 </w:t>
      </w:r>
      <w:r w:rsidR="00F01201" w:rsidRPr="008F60DD">
        <w:t>LTEMP experimental releases</w:t>
      </w:r>
      <w:r w:rsidR="00D61B2E" w:rsidRPr="00E25099">
        <w:t xml:space="preserve">. </w:t>
      </w:r>
      <w:r w:rsidR="00D61B2E">
        <w:t xml:space="preserve"> </w:t>
      </w:r>
      <w:r w:rsidR="00BD28CA">
        <w:t xml:space="preserve">In addition, a fourth experiment, a 2019 bug flow, was conducted under the LTEMP ROD during </w:t>
      </w:r>
      <w:r w:rsidR="005A131A">
        <w:t xml:space="preserve">May, </w:t>
      </w:r>
      <w:r w:rsidR="00BD28CA">
        <w:t>June, July, and August</w:t>
      </w:r>
      <w:r w:rsidR="005A131A">
        <w:t>, but has not yet been analyzed.</w:t>
      </w:r>
    </w:p>
    <w:p w:rsidR="00F01201" w:rsidRDefault="00F01201" w:rsidP="00E25099">
      <w:pPr>
        <w:ind w:left="3"/>
      </w:pPr>
    </w:p>
    <w:p w:rsidR="004A5272" w:rsidRDefault="00F01201" w:rsidP="00E25099">
      <w:pPr>
        <w:ind w:left="3"/>
      </w:pPr>
      <w:r>
        <w:t>T</w:t>
      </w:r>
      <w:r w:rsidR="004B1B4F">
        <w:t xml:space="preserve">his report focuses </w:t>
      </w:r>
      <w:r w:rsidR="004B1B4F" w:rsidRPr="00672903">
        <w:t xml:space="preserve">on the </w:t>
      </w:r>
      <w:r w:rsidR="004B1B4F">
        <w:t xml:space="preserve">third experiment </w:t>
      </w:r>
      <w:r w:rsidR="003D3CD8">
        <w:t>that</w:t>
      </w:r>
      <w:r w:rsidR="004B1B4F">
        <w:t xml:space="preserve"> was an HFE conducted in November 2018</w:t>
      </w:r>
      <w:r>
        <w:t>.</w:t>
      </w:r>
      <w:r w:rsidR="0056037B">
        <w:t xml:space="preserve"> </w:t>
      </w:r>
      <w:r w:rsidR="00BD28CA">
        <w:t>T</w:t>
      </w:r>
      <w:r w:rsidR="0056037B">
        <w:t xml:space="preserve">he HFE prescribed a fixed pattern </w:t>
      </w:r>
      <w:r w:rsidR="003F0C87">
        <w:t>of GCD water releases over a 4</w:t>
      </w:r>
      <w:r w:rsidR="0056037B">
        <w:noBreakHyphen/>
      </w:r>
      <w:r w:rsidR="0056037B" w:rsidRPr="007073CE">
        <w:t xml:space="preserve">day period. During </w:t>
      </w:r>
      <w:r w:rsidR="007073CE" w:rsidRPr="007073CE">
        <w:t>71</w:t>
      </w:r>
      <w:r w:rsidR="0056037B" w:rsidRPr="007073CE">
        <w:t xml:space="preserve"> hours, </w:t>
      </w:r>
      <w:r w:rsidR="00BD28CA">
        <w:t xml:space="preserve">the </w:t>
      </w:r>
      <w:r w:rsidR="0056037B" w:rsidRPr="007073CE">
        <w:t xml:space="preserve">prescribed releases exceeded the Powerplant’s maximum </w:t>
      </w:r>
      <w:r w:rsidR="00BD28CA">
        <w:t xml:space="preserve">turbine </w:t>
      </w:r>
      <w:r w:rsidR="0056037B" w:rsidRPr="007073CE">
        <w:t xml:space="preserve">flow rate by up to </w:t>
      </w:r>
      <w:r w:rsidR="007073CE" w:rsidRPr="007073CE">
        <w:t>14</w:t>
      </w:r>
      <w:r w:rsidR="0056037B" w:rsidRPr="007073CE">
        <w:t>,</w:t>
      </w:r>
      <w:r w:rsidR="007073CE" w:rsidRPr="007073CE">
        <w:t>4</w:t>
      </w:r>
      <w:r w:rsidR="0056037B" w:rsidRPr="007073CE">
        <w:t xml:space="preserve">00 cubic feet per hour (cfs). </w:t>
      </w:r>
      <w:r w:rsidR="003D3CD8">
        <w:t>Water release in excess of the Powerplant</w:t>
      </w:r>
      <w:r w:rsidR="00B9197E">
        <w:t>’s</w:t>
      </w:r>
      <w:r w:rsidR="003D3CD8">
        <w:t xml:space="preserve"> </w:t>
      </w:r>
      <w:r w:rsidR="00B9197E">
        <w:t xml:space="preserve">maximum </w:t>
      </w:r>
      <w:r w:rsidR="003D3CD8">
        <w:t xml:space="preserve">turbine </w:t>
      </w:r>
      <w:r w:rsidR="00996D17">
        <w:t xml:space="preserve">flow rate </w:t>
      </w:r>
      <w:r w:rsidR="003D3CD8">
        <w:t xml:space="preserve">was routed through GCD bypass tubes. This “non-power” water release </w:t>
      </w:r>
      <w:r w:rsidR="0056037B">
        <w:t xml:space="preserve">did not produce </w:t>
      </w:r>
      <w:r w:rsidR="003D3CD8">
        <w:t>energy</w:t>
      </w:r>
      <w:r w:rsidR="0056037B">
        <w:t xml:space="preserve"> and thus resulted in a financial cost to WAPA</w:t>
      </w:r>
      <w:r w:rsidR="003D3CD8">
        <w:t xml:space="preserve">; that is, the opportunity to </w:t>
      </w:r>
      <w:r w:rsidR="00996D17">
        <w:t>route</w:t>
      </w:r>
      <w:r w:rsidR="003D3CD8">
        <w:t xml:space="preserve"> non-power water releases </w:t>
      </w:r>
      <w:r w:rsidR="00996D17">
        <w:t xml:space="preserve">through the Powerplant a </w:t>
      </w:r>
      <w:r w:rsidR="003D3CD8">
        <w:t xml:space="preserve">later </w:t>
      </w:r>
      <w:r w:rsidR="00996D17">
        <w:t>time to produce energy</w:t>
      </w:r>
      <w:r w:rsidR="003D3CD8">
        <w:t xml:space="preserve"> was lost.</w:t>
      </w:r>
      <w:r w:rsidR="0056037B">
        <w:t xml:space="preserve"> </w:t>
      </w:r>
      <w:r w:rsidR="00B9197E">
        <w:t xml:space="preserve">Non-power water releases also increase the tailwater elevation below the dam thus reducing the hydraulic head and </w:t>
      </w:r>
      <w:r w:rsidR="004A5272">
        <w:t xml:space="preserve">water-to-power conversion efficiency. </w:t>
      </w:r>
      <w:r w:rsidR="0056037B">
        <w:t xml:space="preserve">This report describes the method that was used to model the operation of SLCA/IP hydropower resources, which includes GCD, and discusses the </w:t>
      </w:r>
      <w:r w:rsidR="00BD28CA">
        <w:t xml:space="preserve">estimated </w:t>
      </w:r>
      <w:r w:rsidR="0056037B">
        <w:t>financial costs of conducting this experiment.</w:t>
      </w:r>
    </w:p>
    <w:p w:rsidR="004A5272" w:rsidRPr="00467E56" w:rsidRDefault="004A5272" w:rsidP="004A5272">
      <w:pPr>
        <w:rPr>
          <w:lang w:eastAsia="ja-JP"/>
        </w:rPr>
      </w:pPr>
    </w:p>
    <w:p w:rsidR="007C4103" w:rsidRDefault="004A5272" w:rsidP="004A5272">
      <w:r w:rsidRPr="00467E56">
        <w:t xml:space="preserve">During </w:t>
      </w:r>
      <w:r>
        <w:t>the 2019 HFE period</w:t>
      </w:r>
      <w:r w:rsidRPr="00467E56">
        <w:t xml:space="preserve">, operational flexibility </w:t>
      </w:r>
      <w:r>
        <w:t>was</w:t>
      </w:r>
      <w:r w:rsidRPr="00467E56">
        <w:t xml:space="preserve"> essentially eliminated—water </w:t>
      </w:r>
      <w:r>
        <w:t>had to be</w:t>
      </w:r>
      <w:r w:rsidRPr="00467E56">
        <w:t xml:space="preserve"> released according to a fixed</w:t>
      </w:r>
      <w:r>
        <w:t>/</w:t>
      </w:r>
      <w:r w:rsidRPr="00467E56">
        <w:t xml:space="preserve">prespecified schedule. </w:t>
      </w:r>
      <w:r>
        <w:t>A</w:t>
      </w:r>
      <w:r w:rsidRPr="00B043A8">
        <w:t xml:space="preserve">n integrated set of tools </w:t>
      </w:r>
      <w:r>
        <w:t>was used to</w:t>
      </w:r>
      <w:r w:rsidRPr="00B043A8">
        <w:t xml:space="preserve"> </w:t>
      </w:r>
      <w:r>
        <w:t xml:space="preserve">estimate the </w:t>
      </w:r>
      <w:r w:rsidRPr="00B043A8">
        <w:t xml:space="preserve">financial impacts </w:t>
      </w:r>
      <w:r>
        <w:t>of the HFE by simulating</w:t>
      </w:r>
      <w:r w:rsidRPr="00B043A8">
        <w:t xml:space="preserve"> GCD </w:t>
      </w:r>
      <w:r>
        <w:t xml:space="preserve">operations </w:t>
      </w:r>
      <w:r w:rsidRPr="00B043A8">
        <w:t xml:space="preserve">under two </w:t>
      </w:r>
      <w:r>
        <w:t xml:space="preserve">types of cases; namely, (1) a </w:t>
      </w:r>
      <w:r w:rsidRPr="00E5757E">
        <w:t xml:space="preserve"> </w:t>
      </w:r>
      <w:r>
        <w:t>Factual</w:t>
      </w:r>
      <w:r w:rsidRPr="00E5757E">
        <w:t xml:space="preserve"> </w:t>
      </w:r>
      <w:r>
        <w:t xml:space="preserve">case </w:t>
      </w:r>
      <w:r w:rsidRPr="00E5757E">
        <w:t xml:space="preserve">that </w:t>
      </w:r>
      <w:r>
        <w:t>mimics the operations that actually occurred and (2) a Counterfactual case that simulated o</w:t>
      </w:r>
      <w:r w:rsidRPr="00E5757E">
        <w:t xml:space="preserve">perations </w:t>
      </w:r>
      <w:r>
        <w:t xml:space="preserve">under the assumption that the HFE did not occur. </w:t>
      </w:r>
      <w:r w:rsidR="007C4103">
        <w:t>The financial cost of the HFE is set equal to difference between WAPA’s financial position under the Factual and Counterfactual cases.</w:t>
      </w:r>
    </w:p>
    <w:p w:rsidR="007C4103" w:rsidRDefault="007C4103" w:rsidP="004A5272"/>
    <w:p w:rsidR="004A5272" w:rsidRDefault="004A5272" w:rsidP="004A5272">
      <w:r>
        <w:t>The Factual</w:t>
      </w:r>
      <w:r w:rsidRPr="00E5757E">
        <w:t xml:space="preserve"> </w:t>
      </w:r>
      <w:r>
        <w:t xml:space="preserve">case mimics operations under the HFE and during </w:t>
      </w:r>
      <w:r w:rsidRPr="00E5757E">
        <w:t xml:space="preserve">the rest of the </w:t>
      </w:r>
      <w:r>
        <w:t>affected months of WY 2019.</w:t>
      </w:r>
      <w:r w:rsidRPr="00E5757E">
        <w:t xml:space="preserve"> </w:t>
      </w:r>
      <w:r>
        <w:t>I</w:t>
      </w:r>
      <w:r w:rsidRPr="00E5757E">
        <w:t xml:space="preserve">t </w:t>
      </w:r>
      <w:r>
        <w:t>c</w:t>
      </w:r>
      <w:r w:rsidRPr="00E5757E">
        <w:t xml:space="preserve">omplies with </w:t>
      </w:r>
      <w:r>
        <w:t>LTEMP</w:t>
      </w:r>
      <w:r w:rsidRPr="00E5757E">
        <w:t xml:space="preserve"> </w:t>
      </w:r>
      <w:r>
        <w:t xml:space="preserve">hourly and daily operating criteria and summertime bug flow requirements. Because of uncertainties regarding GCD monthly water release volume decisions the Bureau of Reclamation (Reclamation) staff would have made had the HFE not occurred, three Counterfactual cases were examined. All </w:t>
      </w:r>
      <w:r w:rsidRPr="004D5CD1">
        <w:t>three Counterfactual cases assume that the HFE did not occur</w:t>
      </w:r>
      <w:r>
        <w:t xml:space="preserve">. Each, however, assumes different monthly water releases volumes; that is, under the Counterfactual case less water is released in </w:t>
      </w:r>
      <w:r w:rsidRPr="004D5CD1">
        <w:t xml:space="preserve">November </w:t>
      </w:r>
      <w:r>
        <w:t>and reallocated to</w:t>
      </w:r>
      <w:r w:rsidR="00E25099">
        <w:t xml:space="preserve"> late spring/early summer (i.e.</w:t>
      </w:r>
      <w:r>
        <w:t xml:space="preserve"> </w:t>
      </w:r>
      <w:r w:rsidRPr="004D5CD1">
        <w:t>March, April, and May</w:t>
      </w:r>
      <w:r>
        <w:t>)</w:t>
      </w:r>
      <w:r w:rsidRPr="004D5CD1">
        <w:t>.</w:t>
      </w:r>
      <w:r>
        <w:t xml:space="preserve"> </w:t>
      </w:r>
      <w:r w:rsidRPr="00672903">
        <w:t>Because this report aims to isolate the HFE costs from the cost of other experiments, the “bug flow” experiment was assumed to occur in all Factual and Counterfactual cases.</w:t>
      </w:r>
    </w:p>
    <w:p w:rsidR="004A5272" w:rsidRDefault="004A5272" w:rsidP="004A5272"/>
    <w:p w:rsidR="00FC429B" w:rsidRDefault="0056037B" w:rsidP="004A5272">
      <w:pPr>
        <w:rPr>
          <w:lang w:eastAsia="ja-JP"/>
        </w:rPr>
      </w:pPr>
      <w:r>
        <w:rPr>
          <w:lang w:eastAsia="ja-JP"/>
        </w:rPr>
        <w:t xml:space="preserve">During normal </w:t>
      </w:r>
      <w:r w:rsidR="00B9197E">
        <w:rPr>
          <w:lang w:eastAsia="ja-JP"/>
        </w:rPr>
        <w:t xml:space="preserve">daily </w:t>
      </w:r>
      <w:r>
        <w:rPr>
          <w:lang w:eastAsia="ja-JP"/>
        </w:rPr>
        <w:t>operations</w:t>
      </w:r>
      <w:r w:rsidR="008C3AAE">
        <w:rPr>
          <w:lang w:eastAsia="ja-JP"/>
        </w:rPr>
        <w:t xml:space="preserve"> (i.e., periods without experiments)</w:t>
      </w:r>
      <w:r>
        <w:rPr>
          <w:lang w:eastAsia="ja-JP"/>
        </w:rPr>
        <w:t xml:space="preserve">, GCD is governed by </w:t>
      </w:r>
      <w:r w:rsidRPr="00467E56">
        <w:rPr>
          <w:lang w:eastAsia="ja-JP"/>
        </w:rPr>
        <w:t xml:space="preserve">stringent operating rules </w:t>
      </w:r>
      <w:r>
        <w:rPr>
          <w:lang w:eastAsia="ja-JP"/>
        </w:rPr>
        <w:t xml:space="preserve">as specified </w:t>
      </w:r>
      <w:r w:rsidR="003D3CD8">
        <w:rPr>
          <w:lang w:eastAsia="ja-JP"/>
        </w:rPr>
        <w:t>by</w:t>
      </w:r>
      <w:r>
        <w:rPr>
          <w:lang w:eastAsia="ja-JP"/>
        </w:rPr>
        <w:t xml:space="preserve"> the </w:t>
      </w:r>
      <w:r w:rsidR="003D3CD8">
        <w:rPr>
          <w:lang w:eastAsia="ja-JP"/>
        </w:rPr>
        <w:t xml:space="preserve">2016 LTEMP </w:t>
      </w:r>
      <w:r>
        <w:rPr>
          <w:lang w:eastAsia="ja-JP"/>
        </w:rPr>
        <w:t xml:space="preserve">ROD. Although these rules yield </w:t>
      </w:r>
      <w:r w:rsidRPr="00467E56">
        <w:rPr>
          <w:lang w:eastAsia="ja-JP"/>
        </w:rPr>
        <w:t>environmental benefits,</w:t>
      </w:r>
      <w:r>
        <w:rPr>
          <w:lang w:eastAsia="ja-JP"/>
        </w:rPr>
        <w:t xml:space="preserve"> </w:t>
      </w:r>
      <w:r w:rsidR="008C3AAE">
        <w:rPr>
          <w:lang w:eastAsia="ja-JP"/>
        </w:rPr>
        <w:t>the criteria</w:t>
      </w:r>
      <w:r w:rsidR="008C3AAE" w:rsidRPr="00467E56">
        <w:rPr>
          <w:lang w:eastAsia="ja-JP"/>
        </w:rPr>
        <w:t xml:space="preserve"> </w:t>
      </w:r>
      <w:r w:rsidRPr="00467E56">
        <w:rPr>
          <w:lang w:eastAsia="ja-JP"/>
        </w:rPr>
        <w:t xml:space="preserve">also have financial and economic </w:t>
      </w:r>
      <w:r>
        <w:rPr>
          <w:lang w:eastAsia="ja-JP"/>
        </w:rPr>
        <w:t xml:space="preserve">implications. </w:t>
      </w:r>
      <w:r w:rsidRPr="00467E56">
        <w:rPr>
          <w:lang w:eastAsia="ja-JP"/>
        </w:rPr>
        <w:t xml:space="preserve">These criteria reduce the flexibility of operations, diminish dispatchers’ ability to respond to market price signals, and </w:t>
      </w:r>
      <w:r>
        <w:rPr>
          <w:lang w:eastAsia="ja-JP"/>
        </w:rPr>
        <w:t xml:space="preserve">lower </w:t>
      </w:r>
      <w:r w:rsidRPr="00467E56">
        <w:rPr>
          <w:lang w:eastAsia="ja-JP"/>
        </w:rPr>
        <w:t xml:space="preserve">the economic and financial benefits of power production. Power benefits are affected </w:t>
      </w:r>
      <w:r w:rsidR="00B9197E">
        <w:rPr>
          <w:lang w:eastAsia="ja-JP"/>
        </w:rPr>
        <w:t>the</w:t>
      </w:r>
      <w:r w:rsidR="00490637">
        <w:rPr>
          <w:lang w:eastAsia="ja-JP"/>
        </w:rPr>
        <w:t xml:space="preserve"> maximum release limit and a daily change constraint</w:t>
      </w:r>
      <w:r w:rsidR="00490637" w:rsidRPr="00467E56" w:rsidDel="00BD28CA">
        <w:rPr>
          <w:lang w:eastAsia="ja-JP"/>
        </w:rPr>
        <w:t xml:space="preserve"> </w:t>
      </w:r>
      <w:r w:rsidR="00B9197E">
        <w:rPr>
          <w:lang w:eastAsia="ja-JP"/>
        </w:rPr>
        <w:t xml:space="preserve">that </w:t>
      </w:r>
      <w:r w:rsidR="00F74F06">
        <w:rPr>
          <w:lang w:eastAsia="ja-JP"/>
        </w:rPr>
        <w:t>lowers</w:t>
      </w:r>
      <w:r w:rsidR="00490637">
        <w:rPr>
          <w:lang w:eastAsia="ja-JP"/>
        </w:rPr>
        <w:t xml:space="preserve"> </w:t>
      </w:r>
      <w:r w:rsidRPr="00467E56">
        <w:rPr>
          <w:lang w:eastAsia="ja-JP"/>
        </w:rPr>
        <w:t xml:space="preserve">energy </w:t>
      </w:r>
      <w:r w:rsidR="00490637">
        <w:rPr>
          <w:lang w:eastAsia="ja-JP"/>
        </w:rPr>
        <w:t xml:space="preserve">production </w:t>
      </w:r>
      <w:r w:rsidRPr="00467E56">
        <w:rPr>
          <w:lang w:eastAsia="ja-JP"/>
        </w:rPr>
        <w:t>during hours of peak electricity demand when the market price and economic benefits are relatively high</w:t>
      </w:r>
      <w:r w:rsidR="00490637">
        <w:rPr>
          <w:lang w:eastAsia="ja-JP"/>
        </w:rPr>
        <w:t>.</w:t>
      </w:r>
      <w:r w:rsidR="003D3CD8">
        <w:rPr>
          <w:lang w:eastAsia="ja-JP"/>
        </w:rPr>
        <w:t xml:space="preserve"> </w:t>
      </w:r>
      <w:r w:rsidR="00B9197E">
        <w:rPr>
          <w:lang w:eastAsia="ja-JP"/>
        </w:rPr>
        <w:t xml:space="preserve">It also </w:t>
      </w:r>
      <w:r w:rsidR="004A5272">
        <w:rPr>
          <w:lang w:eastAsia="ja-JP"/>
        </w:rPr>
        <w:t>mandates</w:t>
      </w:r>
      <w:r w:rsidR="00B9197E">
        <w:rPr>
          <w:lang w:eastAsia="ja-JP"/>
        </w:rPr>
        <w:t xml:space="preserve"> minimum water release rates that use limited </w:t>
      </w:r>
      <w:r w:rsidR="004A5272">
        <w:rPr>
          <w:lang w:eastAsia="ja-JP"/>
        </w:rPr>
        <w:t xml:space="preserve">water resources during times when </w:t>
      </w:r>
      <w:r w:rsidR="00FC429B">
        <w:rPr>
          <w:lang w:eastAsia="ja-JP"/>
        </w:rPr>
        <w:t>energy</w:t>
      </w:r>
      <w:r w:rsidR="00B9197E">
        <w:rPr>
          <w:lang w:eastAsia="ja-JP"/>
        </w:rPr>
        <w:t xml:space="preserve"> has a lower value. H</w:t>
      </w:r>
      <w:r w:rsidR="00490637">
        <w:rPr>
          <w:lang w:eastAsia="ja-JP"/>
        </w:rPr>
        <w:t>ourly ramp rate restrictions d</w:t>
      </w:r>
      <w:r w:rsidR="00F74F06">
        <w:rPr>
          <w:lang w:eastAsia="ja-JP"/>
        </w:rPr>
        <w:t xml:space="preserve">ampen hydropower </w:t>
      </w:r>
      <w:r w:rsidR="00490637">
        <w:rPr>
          <w:lang w:eastAsia="ja-JP"/>
        </w:rPr>
        <w:t xml:space="preserve">production </w:t>
      </w:r>
      <w:r w:rsidR="00F74F06">
        <w:rPr>
          <w:lang w:eastAsia="ja-JP"/>
        </w:rPr>
        <w:t>responses to changes in energy market pri</w:t>
      </w:r>
      <w:r w:rsidR="00490637">
        <w:rPr>
          <w:lang w:eastAsia="ja-JP"/>
        </w:rPr>
        <w:t>ce signals.</w:t>
      </w:r>
      <w:r w:rsidR="004A5272">
        <w:rPr>
          <w:lang w:eastAsia="ja-JP"/>
        </w:rPr>
        <w:t xml:space="preserve"> </w:t>
      </w:r>
    </w:p>
    <w:p w:rsidR="00FC429B" w:rsidRDefault="00FC429B" w:rsidP="004A5272">
      <w:pPr>
        <w:rPr>
          <w:lang w:eastAsia="ja-JP"/>
        </w:rPr>
      </w:pPr>
    </w:p>
    <w:p w:rsidR="00E3734B" w:rsidRDefault="004A5272" w:rsidP="00E3734B">
      <w:r>
        <w:rPr>
          <w:lang w:eastAsia="ja-JP"/>
        </w:rPr>
        <w:t xml:space="preserve">This study only computes the </w:t>
      </w:r>
      <w:r w:rsidR="00FC429B">
        <w:rPr>
          <w:lang w:eastAsia="ja-JP"/>
        </w:rPr>
        <w:t xml:space="preserve">economic costs of the 2019 HFE -- </w:t>
      </w:r>
      <w:r>
        <w:rPr>
          <w:lang w:eastAsia="ja-JP"/>
        </w:rPr>
        <w:t>not the financial impacts of daily and hourly operating criteria</w:t>
      </w:r>
      <w:r w:rsidR="00FC429B">
        <w:rPr>
          <w:lang w:eastAsia="ja-JP"/>
        </w:rPr>
        <w:t>. Daily and hourly operating criteria are</w:t>
      </w:r>
      <w:r w:rsidR="007C4103">
        <w:rPr>
          <w:lang w:eastAsia="ja-JP"/>
        </w:rPr>
        <w:t>,</w:t>
      </w:r>
      <w:r w:rsidR="00FC429B">
        <w:rPr>
          <w:lang w:eastAsia="ja-JP"/>
        </w:rPr>
        <w:t xml:space="preserve"> however</w:t>
      </w:r>
      <w:r w:rsidR="007C4103">
        <w:rPr>
          <w:lang w:eastAsia="ja-JP"/>
        </w:rPr>
        <w:t>,</w:t>
      </w:r>
      <w:r w:rsidR="00FC429B">
        <w:rPr>
          <w:lang w:eastAsia="ja-JP"/>
        </w:rPr>
        <w:t xml:space="preserve"> </w:t>
      </w:r>
      <w:r>
        <w:rPr>
          <w:lang w:eastAsia="ja-JP"/>
        </w:rPr>
        <w:t xml:space="preserve">included </w:t>
      </w:r>
      <w:r w:rsidR="00FC429B">
        <w:rPr>
          <w:lang w:eastAsia="ja-JP"/>
        </w:rPr>
        <w:t>in the Factual and Counterfactual cases because these crite</w:t>
      </w:r>
      <w:r w:rsidR="00E3734B">
        <w:rPr>
          <w:lang w:eastAsia="ja-JP"/>
        </w:rPr>
        <w:t xml:space="preserve">ria </w:t>
      </w:r>
      <w:r w:rsidR="007C4103">
        <w:rPr>
          <w:lang w:eastAsia="ja-JP"/>
        </w:rPr>
        <w:t>affect</w:t>
      </w:r>
      <w:r w:rsidR="00E3734B">
        <w:rPr>
          <w:lang w:eastAsia="ja-JP"/>
        </w:rPr>
        <w:t xml:space="preserve"> the financial implications of </w:t>
      </w:r>
      <w:r w:rsidR="00FC429B">
        <w:rPr>
          <w:lang w:eastAsia="ja-JP"/>
        </w:rPr>
        <w:t xml:space="preserve">both </w:t>
      </w:r>
      <w:r w:rsidR="007C4103">
        <w:rPr>
          <w:lang w:eastAsia="ja-JP"/>
        </w:rPr>
        <w:t xml:space="preserve">HFE </w:t>
      </w:r>
      <w:r w:rsidR="00FC429B">
        <w:rPr>
          <w:lang w:eastAsia="ja-JP"/>
        </w:rPr>
        <w:t xml:space="preserve">non-power water </w:t>
      </w:r>
      <w:r w:rsidR="00E3734B">
        <w:rPr>
          <w:lang w:eastAsia="ja-JP"/>
        </w:rPr>
        <w:t>releases</w:t>
      </w:r>
      <w:r w:rsidR="00FC429B">
        <w:rPr>
          <w:lang w:eastAsia="ja-JP"/>
        </w:rPr>
        <w:t xml:space="preserve"> and </w:t>
      </w:r>
      <w:r w:rsidR="00E3734B">
        <w:rPr>
          <w:lang w:eastAsia="ja-JP"/>
        </w:rPr>
        <w:t xml:space="preserve">monthly water </w:t>
      </w:r>
      <w:r w:rsidR="00FC429B">
        <w:rPr>
          <w:lang w:eastAsia="ja-JP"/>
        </w:rPr>
        <w:t>reallocation</w:t>
      </w:r>
      <w:r w:rsidR="00E25099">
        <w:rPr>
          <w:lang w:eastAsia="ja-JP"/>
        </w:rPr>
        <w:t>s needed to conduct</w:t>
      </w:r>
      <w:r w:rsidR="00E3734B">
        <w:rPr>
          <w:lang w:eastAsia="ja-JP"/>
        </w:rPr>
        <w:t xml:space="preserve"> the HFE</w:t>
      </w:r>
      <w:r w:rsidR="00FC429B">
        <w:rPr>
          <w:lang w:eastAsia="ja-JP"/>
        </w:rPr>
        <w:t xml:space="preserve">. </w:t>
      </w:r>
      <w:r w:rsidR="00E3734B">
        <w:t>Similarly</w:t>
      </w:r>
      <w:r w:rsidR="007C4103">
        <w:t>,</w:t>
      </w:r>
      <w:r w:rsidR="00E3734B">
        <w:t xml:space="preserve"> the</w:t>
      </w:r>
      <w:r w:rsidR="00E3734B" w:rsidRPr="00672903">
        <w:t xml:space="preserve"> </w:t>
      </w:r>
      <w:r w:rsidR="00E3734B">
        <w:t xml:space="preserve">Bug Flow </w:t>
      </w:r>
      <w:r w:rsidR="00E3734B" w:rsidRPr="00672903">
        <w:t xml:space="preserve">experiment </w:t>
      </w:r>
      <w:r w:rsidR="007C4103">
        <w:t>that occurred during the summer of</w:t>
      </w:r>
      <w:r w:rsidR="00E3734B" w:rsidRPr="00672903">
        <w:t xml:space="preserve"> 2019</w:t>
      </w:r>
      <w:r w:rsidR="007C4103">
        <w:t xml:space="preserve"> was included in all Factual and Counterfactual cases</w:t>
      </w:r>
      <w:r w:rsidR="00E3734B" w:rsidRPr="00672903">
        <w:t xml:space="preserve">. This way, </w:t>
      </w:r>
      <w:r w:rsidR="007C4103">
        <w:t>WAPA’s</w:t>
      </w:r>
      <w:r w:rsidR="00E3734B" w:rsidRPr="00672903">
        <w:t xml:space="preserve"> financial </w:t>
      </w:r>
      <w:r w:rsidR="007C4103">
        <w:t xml:space="preserve">HFE costs </w:t>
      </w:r>
      <w:r w:rsidR="00E3734B" w:rsidRPr="00672903">
        <w:t>only captur</w:t>
      </w:r>
      <w:r w:rsidR="007C4103">
        <w:t>e</w:t>
      </w:r>
      <w:r w:rsidR="00E3734B" w:rsidRPr="00672903">
        <w:t xml:space="preserve"> the impact of the HFE, not </w:t>
      </w:r>
      <w:r w:rsidR="007C4103">
        <w:t>LTEMP daily/hourly operating criteria and</w:t>
      </w:r>
      <w:r w:rsidR="00E3734B" w:rsidRPr="00672903">
        <w:t xml:space="preserve"> the </w:t>
      </w:r>
      <w:r w:rsidR="007C4103">
        <w:t xml:space="preserve">Bug Flow </w:t>
      </w:r>
      <w:r w:rsidR="00E3734B" w:rsidRPr="00672903">
        <w:t>experiment.</w:t>
      </w:r>
    </w:p>
    <w:p w:rsidR="00F74F06" w:rsidRDefault="00F74F06" w:rsidP="0056037B"/>
    <w:p w:rsidR="0056037B" w:rsidRDefault="001A6720" w:rsidP="0056037B">
      <w:r w:rsidRPr="00E25099">
        <w:t>It should be noted that, for the present study, only the period from October 2018 through May 2019 was being considered, instead of the entire WY 2019 (i.e., from October 2018 to September 2019</w:t>
      </w:r>
      <w:r w:rsidR="001D0AC9" w:rsidRPr="00E25099">
        <w:t>). This is so because it wa</w:t>
      </w:r>
      <w:r w:rsidRPr="00E25099">
        <w:t xml:space="preserve">s assumed that the operating conditions from June 2019 to September 2019 were exactly the same under </w:t>
      </w:r>
      <w:r w:rsidR="00805191" w:rsidRPr="00E25099">
        <w:t xml:space="preserve">all </w:t>
      </w:r>
      <w:r w:rsidRPr="00E25099">
        <w:t xml:space="preserve">the Factual and Counterfactual cases. Therefore, </w:t>
      </w:r>
      <w:r w:rsidR="00197F48" w:rsidRPr="00E25099">
        <w:t xml:space="preserve">these last four months had no financial impact. </w:t>
      </w:r>
      <w:r w:rsidRPr="00E25099">
        <w:t xml:space="preserve">This assumption </w:t>
      </w:r>
      <w:r w:rsidR="001D0AC9" w:rsidRPr="00E25099">
        <w:t>is</w:t>
      </w:r>
      <w:r w:rsidRPr="00E25099">
        <w:t xml:space="preserve"> </w:t>
      </w:r>
      <w:r w:rsidR="001D0AC9" w:rsidRPr="00E25099">
        <w:t xml:space="preserve">later </w:t>
      </w:r>
      <w:r w:rsidRPr="00E25099">
        <w:t xml:space="preserve">justified in section </w:t>
      </w:r>
      <w:r w:rsidRPr="00E25099">
        <w:fldChar w:fldCharType="begin"/>
      </w:r>
      <w:r w:rsidRPr="00E25099">
        <w:instrText xml:space="preserve"> REF _Ref17466766 \r \h </w:instrText>
      </w:r>
      <w:r w:rsidR="00197F48" w:rsidRPr="00E25099">
        <w:instrText xml:space="preserve"> \* MERGEFORMAT </w:instrText>
      </w:r>
      <w:r w:rsidRPr="00E25099">
        <w:fldChar w:fldCharType="separate"/>
      </w:r>
      <w:r w:rsidRPr="00E25099">
        <w:t>2.2</w:t>
      </w:r>
      <w:r w:rsidRPr="00E25099">
        <w:fldChar w:fldCharType="end"/>
      </w:r>
      <w:r w:rsidRPr="00E25099">
        <w:t>.</w:t>
      </w:r>
    </w:p>
    <w:p w:rsidR="0056037B" w:rsidRPr="00CC0634" w:rsidRDefault="0056037B" w:rsidP="0056037B"/>
    <w:p w:rsidR="0056037B" w:rsidRDefault="0056037B" w:rsidP="0056037B">
      <w:r>
        <w:t>The GTMax</w:t>
      </w:r>
      <w:r w:rsidR="00F74F06">
        <w:t xml:space="preserve"> </w:t>
      </w:r>
      <w:r>
        <w:t xml:space="preserve">SL model simulates the SLCA/IP power plant dispatch from which WAPA’s financial revenues are computed. This tool uses an integrated systems modeling approach to dispatch power plants in the system, while recognizing interactions among supply resources over time. The retrospective simulation of WY </w:t>
      </w:r>
      <w:r w:rsidR="003F0C87">
        <w:t>2019</w:t>
      </w:r>
      <w:r>
        <w:t xml:space="preserve"> SLCA/IP operations made use of extensive sets of data and historical information on SLCA/IP power plants’ characteristics and hydrologic conditions. It also used actual WAPA power sale and purchase prices for transactions conducted during WY </w:t>
      </w:r>
      <w:r w:rsidR="003F0C87">
        <w:t>2019</w:t>
      </w:r>
      <w:r>
        <w:t>.</w:t>
      </w:r>
    </w:p>
    <w:p w:rsidR="0056037B" w:rsidRDefault="0056037B" w:rsidP="0056037B"/>
    <w:p w:rsidR="00E66BB6" w:rsidRDefault="0056037B" w:rsidP="0056037B">
      <w:r>
        <w:t>The GTMax</w:t>
      </w:r>
      <w:r w:rsidR="00F74F06">
        <w:t xml:space="preserve"> </w:t>
      </w:r>
      <w:r>
        <w:t xml:space="preserve">SL model simulated </w:t>
      </w:r>
      <w:r w:rsidR="00ED6A40">
        <w:t>four</w:t>
      </w:r>
      <w:r>
        <w:t xml:space="preserve"> </w:t>
      </w:r>
      <w:r w:rsidR="003F0C87">
        <w:t>cases</w:t>
      </w:r>
      <w:r w:rsidR="00ED6A40">
        <w:t>: one Factual case and three Counterfactual cases.</w:t>
      </w:r>
      <w:r>
        <w:t xml:space="preserve"> Under the </w:t>
      </w:r>
      <w:r w:rsidR="003F0C87">
        <w:t>Factual case</w:t>
      </w:r>
      <w:r>
        <w:t>, GTMax</w:t>
      </w:r>
      <w:r w:rsidR="00B76444">
        <w:t xml:space="preserve"> </w:t>
      </w:r>
      <w:r>
        <w:t xml:space="preserve">SL mimics the HFE as documented by WAPA and Reclamation and, for the rest of the year, simulates operations that comply with the </w:t>
      </w:r>
      <w:r w:rsidR="003F0C87">
        <w:t>2</w:t>
      </w:r>
      <w:r>
        <w:t xml:space="preserve">016 ROD </w:t>
      </w:r>
      <w:r w:rsidR="003F0C87">
        <w:t xml:space="preserve">operating criteria. The </w:t>
      </w:r>
      <w:r w:rsidR="00ED6A40">
        <w:t xml:space="preserve">three </w:t>
      </w:r>
      <w:r w:rsidR="003F0C87">
        <w:t>Counterfactual case</w:t>
      </w:r>
      <w:r w:rsidR="00E677E9">
        <w:t>s are</w:t>
      </w:r>
      <w:r>
        <w:t xml:space="preserve"> identical to the </w:t>
      </w:r>
      <w:r w:rsidR="003F0C87">
        <w:t>Factual case</w:t>
      </w:r>
      <w:r w:rsidR="00E677E9">
        <w:t>, except they assume</w:t>
      </w:r>
      <w:r>
        <w:t xml:space="preserve"> that the experimental release did not occur. Differences </w:t>
      </w:r>
      <w:r w:rsidRPr="008B0AB4">
        <w:t>in the financial position between</w:t>
      </w:r>
      <w:r>
        <w:t xml:space="preserve"> the </w:t>
      </w:r>
      <w:r w:rsidR="00E677E9">
        <w:t>Factual and Counterfactual</w:t>
      </w:r>
      <w:r>
        <w:t xml:space="preserve"> </w:t>
      </w:r>
      <w:r w:rsidR="003F0C87">
        <w:t>cases</w:t>
      </w:r>
      <w:r>
        <w:t xml:space="preserve"> represent the change in the monetary value of power attributed to experimental releases. In addition to estimating the financial impact of experimental releases, the GTMax</w:t>
      </w:r>
      <w:r w:rsidR="00B76444">
        <w:t xml:space="preserve"> </w:t>
      </w:r>
      <w:r>
        <w:t>SL model was used to gain insights into the interplay among ROD operating criteria, exceptions made to criteria to accommodate the experimental releases, and WAPA operating practices.</w:t>
      </w:r>
      <w:r w:rsidR="00ED6A40">
        <w:t xml:space="preserve"> </w:t>
      </w:r>
    </w:p>
    <w:p w:rsidR="00203C11" w:rsidRDefault="00E66BB6" w:rsidP="00203C11">
      <w:pPr>
        <w:rPr>
          <w:rFonts w:ascii="CG Times (W1)" w:hAnsi="CG Times (W1)"/>
        </w:rPr>
      </w:pPr>
      <w:r>
        <w:br w:type="page"/>
      </w:r>
    </w:p>
    <w:p w:rsidR="00EE6FB9" w:rsidRDefault="00B76444" w:rsidP="00EE6FB9">
      <w:pPr>
        <w:pStyle w:val="Heading1"/>
        <w:ind w:left="360" w:hanging="360"/>
        <w:jc w:val="left"/>
        <w:rPr>
          <w:bCs/>
        </w:rPr>
      </w:pPr>
      <w:bookmarkStart w:id="14" w:name="_Toc19196959"/>
      <w:r>
        <w:rPr>
          <w:bCs/>
        </w:rPr>
        <w:t xml:space="preserve">LTEMP </w:t>
      </w:r>
      <w:r w:rsidR="00B80AA8" w:rsidRPr="00B80AA8">
        <w:rPr>
          <w:bCs/>
        </w:rPr>
        <w:t>ROD Criteria and WAPA Operating Practices</w:t>
      </w:r>
      <w:bookmarkEnd w:id="14"/>
    </w:p>
    <w:p w:rsidR="00B80AA8" w:rsidRDefault="00B80AA8" w:rsidP="00B80AA8"/>
    <w:p w:rsidR="00B80AA8" w:rsidRPr="00B80AA8" w:rsidRDefault="00B76444" w:rsidP="00B80AA8">
      <w:r>
        <w:t xml:space="preserve">As discussed in the previous section, </w:t>
      </w:r>
      <w:r w:rsidR="00C20809">
        <w:t xml:space="preserve">the </w:t>
      </w:r>
      <w:r>
        <w:t xml:space="preserve">LTEMP </w:t>
      </w:r>
      <w:r w:rsidR="00C20809">
        <w:t xml:space="preserve">ROD </w:t>
      </w:r>
      <w:r>
        <w:t>affect</w:t>
      </w:r>
      <w:r w:rsidR="00C20809">
        <w:t>s</w:t>
      </w:r>
      <w:r>
        <w:t xml:space="preserve"> the financial cost of conducting the HFE. </w:t>
      </w:r>
      <w:r w:rsidR="00B80AA8" w:rsidRPr="00B80AA8">
        <w:t xml:space="preserve">Important </w:t>
      </w:r>
      <w:r w:rsidR="00C20809">
        <w:t>ROD</w:t>
      </w:r>
      <w:r>
        <w:t xml:space="preserve"> </w:t>
      </w:r>
      <w:r w:rsidR="00B80AA8" w:rsidRPr="00B80AA8">
        <w:t xml:space="preserve">factors </w:t>
      </w:r>
      <w:r w:rsidR="00C20809">
        <w:t xml:space="preserve">affecting HFE financial costs </w:t>
      </w:r>
      <w:r w:rsidR="00B80AA8" w:rsidRPr="00B80AA8">
        <w:t>include the following:</w:t>
      </w:r>
    </w:p>
    <w:p w:rsidR="00B80AA8" w:rsidRPr="00B80AA8" w:rsidRDefault="00B80AA8" w:rsidP="00B80AA8"/>
    <w:p w:rsidR="00B80AA8" w:rsidRPr="00B80AA8" w:rsidRDefault="00B80AA8" w:rsidP="00B80AA8">
      <w:pPr>
        <w:numPr>
          <w:ilvl w:val="0"/>
          <w:numId w:val="27"/>
        </w:numPr>
        <w:tabs>
          <w:tab w:val="num" w:pos="810"/>
        </w:tabs>
      </w:pPr>
      <w:r w:rsidRPr="00B80AA8">
        <w:t xml:space="preserve">Hourly and daily operating </w:t>
      </w:r>
      <w:r w:rsidR="00C20809">
        <w:t>limitations</w:t>
      </w:r>
      <w:r w:rsidRPr="00B80AA8">
        <w:t>,</w:t>
      </w:r>
    </w:p>
    <w:p w:rsidR="00B80AA8" w:rsidRPr="00B80AA8" w:rsidRDefault="00B80AA8" w:rsidP="00B80AA8">
      <w:pPr>
        <w:numPr>
          <w:ilvl w:val="0"/>
          <w:numId w:val="27"/>
        </w:numPr>
        <w:tabs>
          <w:tab w:val="num" w:pos="810"/>
        </w:tabs>
      </w:pPr>
      <w:r w:rsidRPr="00B80AA8">
        <w:t>Exceptions to the ROD criteria made to accommodate the experimental releases,</w:t>
      </w:r>
    </w:p>
    <w:p w:rsidR="00C20809" w:rsidRDefault="00B80AA8" w:rsidP="00B80AA8">
      <w:pPr>
        <w:numPr>
          <w:ilvl w:val="0"/>
          <w:numId w:val="27"/>
        </w:numPr>
        <w:tabs>
          <w:tab w:val="num" w:pos="810"/>
        </w:tabs>
      </w:pPr>
      <w:r w:rsidRPr="00B80AA8">
        <w:t>Monthly water release</w:t>
      </w:r>
      <w:r w:rsidR="00C20809">
        <w:t xml:space="preserve"> volume allocations</w:t>
      </w:r>
      <w:r w:rsidRPr="00B80AA8">
        <w:t xml:space="preserve">, </w:t>
      </w:r>
      <w:r w:rsidR="00C20809">
        <w:t>and</w:t>
      </w:r>
    </w:p>
    <w:p w:rsidR="00B80AA8" w:rsidRDefault="007C5D00" w:rsidP="00B80AA8">
      <w:pPr>
        <w:numPr>
          <w:ilvl w:val="0"/>
          <w:numId w:val="27"/>
        </w:numPr>
        <w:tabs>
          <w:tab w:val="num" w:pos="810"/>
        </w:tabs>
      </w:pPr>
      <w:r>
        <w:t>C</w:t>
      </w:r>
      <w:r w:rsidR="00C20809">
        <w:t>onducting experiments other than an HFE.</w:t>
      </w:r>
    </w:p>
    <w:p w:rsidR="00C20809" w:rsidRPr="00B80AA8" w:rsidRDefault="00C20809" w:rsidP="00E25099"/>
    <w:p w:rsidR="00B80AA8" w:rsidRPr="00B80AA8" w:rsidRDefault="007C5D00" w:rsidP="00E25099">
      <w:r>
        <w:t xml:space="preserve">HFE financial costs estimates are also impacted by </w:t>
      </w:r>
      <w:r w:rsidR="00B80AA8" w:rsidRPr="00B80AA8">
        <w:t xml:space="preserve">WAPA </w:t>
      </w:r>
      <w:r>
        <w:t xml:space="preserve">SLCA/IP hydropower plants </w:t>
      </w:r>
      <w:r w:rsidR="00B80AA8" w:rsidRPr="00B80AA8">
        <w:t>scheduling</w:t>
      </w:r>
      <w:r>
        <w:t>/dispatch</w:t>
      </w:r>
      <w:r w:rsidR="00B80AA8" w:rsidRPr="00B80AA8">
        <w:t xml:space="preserve"> </w:t>
      </w:r>
      <w:r>
        <w:t xml:space="preserve">goals and </w:t>
      </w:r>
      <w:r w:rsidR="00B80AA8" w:rsidRPr="00B80AA8">
        <w:t>guidelines</w:t>
      </w:r>
      <w:r>
        <w:t xml:space="preserve">. </w:t>
      </w:r>
    </w:p>
    <w:p w:rsidR="00B80AA8" w:rsidRPr="00B80AA8" w:rsidRDefault="00B80AA8" w:rsidP="00B80AA8"/>
    <w:p w:rsidR="00B80AA8" w:rsidRPr="00B80AA8" w:rsidRDefault="00B80AA8" w:rsidP="00B80AA8">
      <w:r w:rsidRPr="00B80AA8">
        <w:t>This section provides background information on each of these factors.</w:t>
      </w:r>
    </w:p>
    <w:p w:rsidR="00EE6FB9" w:rsidRDefault="00EE6FB9">
      <w:pPr>
        <w:spacing w:line="240" w:lineRule="auto"/>
        <w:jc w:val="left"/>
      </w:pPr>
    </w:p>
    <w:p w:rsidR="00EE6FB9" w:rsidRDefault="00B80AA8" w:rsidP="00EE6FB9">
      <w:pPr>
        <w:pStyle w:val="Heading2"/>
        <w:jc w:val="left"/>
        <w:rPr>
          <w:sz w:val="24"/>
          <w:szCs w:val="24"/>
        </w:rPr>
      </w:pPr>
      <w:bookmarkStart w:id="15" w:name="_Toc19196960"/>
      <w:r w:rsidRPr="00B80AA8">
        <w:rPr>
          <w:sz w:val="24"/>
          <w:szCs w:val="24"/>
        </w:rPr>
        <w:t>Hourly and Daily Operating Criteria and Exceptions</w:t>
      </w:r>
      <w:bookmarkEnd w:id="15"/>
    </w:p>
    <w:p w:rsidR="00B80AA8" w:rsidRDefault="00B80AA8" w:rsidP="00B80AA8"/>
    <w:p w:rsidR="00BA52C6" w:rsidRDefault="00BA52C6" w:rsidP="00BA52C6">
      <w:r>
        <w:t xml:space="preserve">Operating criteria specified in the 2016 ROD are intended to temper the rate of change in hourly and daily water releases. The criteria selected were based on the LTEMP Alternative as described in the final </w:t>
      </w:r>
      <w:r w:rsidRPr="00805191">
        <w:t>ROD (Reclamation 2016). These criteria were</w:t>
      </w:r>
      <w:r>
        <w:t xml:space="preserve"> put into practice by WAPA from October 2017.</w:t>
      </w:r>
    </w:p>
    <w:p w:rsidR="00BA52C6" w:rsidRDefault="00BA52C6" w:rsidP="00BA52C6"/>
    <w:p w:rsidR="00A57666" w:rsidRDefault="00BA52C6" w:rsidP="00BA52C6">
      <w:r>
        <w:t>Flow restrictions under the 2016</w:t>
      </w:r>
      <w:r w:rsidR="00234D6C">
        <w:t xml:space="preserve"> ROD are shown in Table 2.1. For comparison purposes, they are represented </w:t>
      </w:r>
      <w:r>
        <w:t>along with operational limits in effect</w:t>
      </w:r>
      <w:r w:rsidR="00234D6C">
        <w:t xml:space="preserve"> between February 1997 and October 2017 that were complying with the 1996 ROD,</w:t>
      </w:r>
      <w:r>
        <w:t xml:space="preserve"> </w:t>
      </w:r>
      <w:r w:rsidR="00234D6C">
        <w:t>and operational limits prior to June 1, 1991</w:t>
      </w:r>
      <w:r>
        <w:t xml:space="preserve">. The </w:t>
      </w:r>
      <w:r w:rsidR="00234D6C">
        <w:t>2016</w:t>
      </w:r>
      <w:r>
        <w:t xml:space="preserve"> ROD criteria require water release rates to be 8,000 cfs or greater between the hours of 7:00 a.m. and 7:00 p.m. and at least 5,000 cfs at night. The criteria also limit how quickly the release rate can increase and decrease in consecutive hours. The maximum hourly increase (i.e., the up-ramp rate) is 4,000 cfs/hour (hr), and the maximum hourly decrease (i.e., the down-ramp rate) is </w:t>
      </w:r>
      <w:r w:rsidR="00234D6C">
        <w:t>2</w:t>
      </w:r>
      <w:r>
        <w:t xml:space="preserve">,500 cfs/hr. </w:t>
      </w:r>
    </w:p>
    <w:p w:rsidR="00A57666" w:rsidRDefault="00A57666" w:rsidP="00BA52C6"/>
    <w:p w:rsidR="00BA52C6" w:rsidRDefault="00BA52C6" w:rsidP="00BA52C6">
      <w:r>
        <w:t xml:space="preserve">The </w:t>
      </w:r>
      <w:r w:rsidR="00234D6C">
        <w:t>2016</w:t>
      </w:r>
      <w:r>
        <w:t xml:space="preserve"> ROD operating criteria also restrict </w:t>
      </w:r>
      <w:r w:rsidR="0022545C">
        <w:t xml:space="preserve">the range of </w:t>
      </w:r>
      <w:r>
        <w:t>release</w:t>
      </w:r>
      <w:r w:rsidR="0022545C">
        <w:t xml:space="preserve"> rates</w:t>
      </w:r>
      <w:r>
        <w:t xml:space="preserve"> during rolling 24-hour periods. This change constraint </w:t>
      </w:r>
      <w:r w:rsidR="00A21585">
        <w:t>depends</w:t>
      </w:r>
      <w:r>
        <w:t xml:space="preserve"> on the monthly volume of water releases. Daily fluctuation</w:t>
      </w:r>
      <w:r w:rsidR="00A21585">
        <w:t xml:space="preserve"> (in cfs</w:t>
      </w:r>
      <w:r w:rsidR="00A57666">
        <w:t>/24 hr</w:t>
      </w:r>
      <w:r w:rsidR="00A21585">
        <w:t>)</w:t>
      </w:r>
      <w:r>
        <w:t xml:space="preserve"> is limited to </w:t>
      </w:r>
      <w:r w:rsidR="00A21585">
        <w:t>10 times the monthly release</w:t>
      </w:r>
      <w:r w:rsidR="0022545C">
        <w:t xml:space="preserve"> specified in thousands of acre-feet</w:t>
      </w:r>
      <w:r w:rsidR="00A21585">
        <w:t xml:space="preserve"> </w:t>
      </w:r>
      <w:r w:rsidR="0022545C">
        <w:t>(</w:t>
      </w:r>
      <w:r w:rsidR="00A21585">
        <w:t>TAF) from June to August</w:t>
      </w:r>
      <w:r>
        <w:t>.</w:t>
      </w:r>
      <w:r w:rsidR="00A21585">
        <w:t xml:space="preserve"> From September to May, it is limited to 9 times the monthly release</w:t>
      </w:r>
      <w:r w:rsidR="0022545C">
        <w:t xml:space="preserve"> volume</w:t>
      </w:r>
      <w:r>
        <w:t>.</w:t>
      </w:r>
      <w:r w:rsidR="00A21585">
        <w:t xml:space="preserve"> The daily range can never exceed 8,000 cfs.</w:t>
      </w:r>
      <w:r w:rsidR="00A57666">
        <w:t xml:space="preserve"> </w:t>
      </w:r>
      <w:r w:rsidR="00A57666" w:rsidRPr="00E25099">
        <w:t>In November 2018,</w:t>
      </w:r>
      <w:r w:rsidR="001D54E4" w:rsidRPr="00E25099">
        <w:t xml:space="preserve"> during the non-HFE days (November, 1-4 and 9-30),</w:t>
      </w:r>
      <w:r w:rsidR="00A57666" w:rsidRPr="00E25099">
        <w:t xml:space="preserve"> the daily range was </w:t>
      </w:r>
      <w:r w:rsidR="004E57E6" w:rsidRPr="00E25099">
        <w:t>further reduced</w:t>
      </w:r>
      <w:r w:rsidR="00A57666" w:rsidRPr="00E25099">
        <w:t xml:space="preserve"> to 2,500 cfs/24 hr</w:t>
      </w:r>
      <w:r w:rsidR="001D54E4" w:rsidRPr="00E25099">
        <w:t xml:space="preserve"> </w:t>
      </w:r>
      <w:r w:rsidR="00A57666" w:rsidRPr="00E25099">
        <w:t xml:space="preserve">to avoid </w:t>
      </w:r>
      <w:r w:rsidR="0022545C">
        <w:t>the disruption of</w:t>
      </w:r>
      <w:r w:rsidR="00A57666" w:rsidRPr="00E25099">
        <w:t xml:space="preserve"> sediment in the system before and after the </w:t>
      </w:r>
      <w:r w:rsidR="006D6BC5" w:rsidRPr="00E25099">
        <w:t>HFE</w:t>
      </w:r>
      <w:r w:rsidR="00A57666" w:rsidRPr="00E25099">
        <w:t>.</w:t>
      </w:r>
      <w:r w:rsidR="00646483" w:rsidRPr="00E25099">
        <w:t xml:space="preserve"> This small range also </w:t>
      </w:r>
      <w:r w:rsidR="0022545C">
        <w:t>reduced</w:t>
      </w:r>
      <w:r w:rsidR="00646483" w:rsidRPr="00E25099">
        <w:t xml:space="preserve"> the</w:t>
      </w:r>
      <w:r w:rsidR="005F3C98">
        <w:t xml:space="preserve"> amount of </w:t>
      </w:r>
      <w:r w:rsidR="00646483" w:rsidRPr="00E25099">
        <w:t xml:space="preserve">additional </w:t>
      </w:r>
      <w:r w:rsidR="005F3C98">
        <w:t>water that</w:t>
      </w:r>
      <w:r w:rsidR="005F3C98" w:rsidRPr="00E25099">
        <w:t xml:space="preserve"> </w:t>
      </w:r>
      <w:r w:rsidR="00646483" w:rsidRPr="00E25099">
        <w:t xml:space="preserve">released </w:t>
      </w:r>
      <w:r w:rsidR="005F3C98">
        <w:t>during</w:t>
      </w:r>
      <w:r w:rsidR="00646483" w:rsidRPr="00E25099">
        <w:t xml:space="preserve"> November </w:t>
      </w:r>
      <w:r w:rsidR="005F3C98">
        <w:t>to support the HFE</w:t>
      </w:r>
      <w:r w:rsidR="001D54E4" w:rsidRPr="00E25099">
        <w:t xml:space="preserve"> (Dean 2019b).</w:t>
      </w:r>
    </w:p>
    <w:p w:rsidR="00BA52C6" w:rsidRDefault="00BA52C6" w:rsidP="00BA52C6"/>
    <w:p w:rsidR="00B80AA8" w:rsidRDefault="00BA52C6" w:rsidP="00BA52C6">
      <w:r>
        <w:t xml:space="preserve">The maximum flow rate is limited to 25,000 cfs under the </w:t>
      </w:r>
      <w:r w:rsidR="00A21585">
        <w:t>2016</w:t>
      </w:r>
      <w:r>
        <w:t xml:space="preserve"> ROD operating criteria. It is, however, allowed to exceed this limit in order to avoid spills or flood releases during high-runoff periods. Under very wet hydrological conditions, defined as when the average monthly release rate is greater than 25,000 cfs, the flow rate may also be exceeded; however, water must be released at a constant rate. Exceptions to the operating criteria are also made to accommodate experimental releases. For the experiment discussed in this report, maximum flow rates above 25,000 cfs were allowed during the </w:t>
      </w:r>
      <w:r w:rsidR="006D6BC5">
        <w:t xml:space="preserve">4 days of the </w:t>
      </w:r>
      <w:r>
        <w:t>HFE.</w:t>
      </w:r>
    </w:p>
    <w:p w:rsidR="003B1008" w:rsidRDefault="003B1008" w:rsidP="003B1008">
      <w:pPr>
        <w:pStyle w:val="Caption"/>
        <w:keepNext/>
        <w:jc w:val="center"/>
      </w:pPr>
      <w:bookmarkStart w:id="16" w:name="_Toc19196919"/>
      <w:r>
        <w:t xml:space="preserve">Table </w:t>
      </w:r>
      <w:r w:rsidR="00CE27EE">
        <w:rPr>
          <w:noProof/>
        </w:rPr>
        <w:fldChar w:fldCharType="begin"/>
      </w:r>
      <w:r w:rsidR="00CE27EE">
        <w:rPr>
          <w:noProof/>
        </w:rPr>
        <w:instrText xml:space="preserve"> STYLEREF 1 \s </w:instrText>
      </w:r>
      <w:r w:rsidR="00CE27EE">
        <w:rPr>
          <w:noProof/>
        </w:rPr>
        <w:fldChar w:fldCharType="separate"/>
      </w:r>
      <w:r w:rsidR="00C44BB9">
        <w:rPr>
          <w:noProof/>
        </w:rPr>
        <w:t>2</w:t>
      </w:r>
      <w:r w:rsidR="00CE27EE">
        <w:rPr>
          <w:noProof/>
        </w:rPr>
        <w:fldChar w:fldCharType="end"/>
      </w:r>
      <w:r w:rsidR="00C44BB9">
        <w:noBreakHyphen/>
      </w:r>
      <w:r w:rsidR="00CE27EE">
        <w:rPr>
          <w:noProof/>
        </w:rPr>
        <w:fldChar w:fldCharType="begin"/>
      </w:r>
      <w:r w:rsidR="00CE27EE">
        <w:rPr>
          <w:noProof/>
        </w:rPr>
        <w:instrText xml:space="preserve"> SEQ Table \* ARABIC \s 1 </w:instrText>
      </w:r>
      <w:r w:rsidR="00CE27EE">
        <w:rPr>
          <w:noProof/>
        </w:rPr>
        <w:fldChar w:fldCharType="separate"/>
      </w:r>
      <w:r w:rsidR="00C44BB9">
        <w:rPr>
          <w:noProof/>
        </w:rPr>
        <w:t>1</w:t>
      </w:r>
      <w:r w:rsidR="00CE27EE">
        <w:rPr>
          <w:noProof/>
        </w:rPr>
        <w:fldChar w:fldCharType="end"/>
      </w:r>
      <w:r>
        <w:t xml:space="preserve"> Evolution of operating constraints at GCD</w:t>
      </w:r>
      <w:bookmarkEnd w:id="16"/>
    </w:p>
    <w:tbl>
      <w:tblPr>
        <w:tblW w:w="0" w:type="auto"/>
        <w:tblInd w:w="558" w:type="dxa"/>
        <w:tblLook w:val="04A0" w:firstRow="1" w:lastRow="0" w:firstColumn="1" w:lastColumn="0" w:noHBand="0" w:noVBand="1"/>
      </w:tblPr>
      <w:tblGrid>
        <w:gridCol w:w="342"/>
        <w:gridCol w:w="1080"/>
        <w:gridCol w:w="2460"/>
        <w:gridCol w:w="2130"/>
        <w:gridCol w:w="2790"/>
      </w:tblGrid>
      <w:tr w:rsidR="003B1008" w:rsidRPr="0066455B" w:rsidTr="001E5ACE">
        <w:tc>
          <w:tcPr>
            <w:tcW w:w="1422" w:type="dxa"/>
            <w:gridSpan w:val="2"/>
            <w:tcBorders>
              <w:top w:val="single" w:sz="4" w:space="0" w:color="auto"/>
              <w:bottom w:val="single" w:sz="4" w:space="0" w:color="auto"/>
            </w:tcBorders>
            <w:vAlign w:val="bottom"/>
          </w:tcPr>
          <w:p w:rsidR="003B1008" w:rsidRPr="00E63BC6" w:rsidRDefault="003B1008" w:rsidP="009F1C34">
            <w:pPr>
              <w:jc w:val="center"/>
              <w:rPr>
                <w:rFonts w:ascii="Arial" w:hAnsi="Arial" w:cs="Arial"/>
                <w:sz w:val="18"/>
                <w:szCs w:val="18"/>
              </w:rPr>
            </w:pPr>
            <w:r w:rsidRPr="00E63BC6">
              <w:rPr>
                <w:rFonts w:ascii="Arial" w:hAnsi="Arial" w:cs="Arial"/>
                <w:sz w:val="18"/>
                <w:szCs w:val="18"/>
              </w:rPr>
              <w:t>Operational Constraint</w:t>
            </w:r>
          </w:p>
        </w:tc>
        <w:tc>
          <w:tcPr>
            <w:tcW w:w="2460" w:type="dxa"/>
            <w:tcBorders>
              <w:top w:val="single" w:sz="4" w:space="0" w:color="auto"/>
              <w:bottom w:val="single" w:sz="4" w:space="0" w:color="auto"/>
            </w:tcBorders>
            <w:vAlign w:val="bottom"/>
          </w:tcPr>
          <w:p w:rsidR="003B1008" w:rsidRPr="00E63BC6" w:rsidRDefault="003B1008" w:rsidP="007F3F08">
            <w:pPr>
              <w:jc w:val="center"/>
              <w:rPr>
                <w:rFonts w:ascii="Arial" w:hAnsi="Arial" w:cs="Arial"/>
                <w:sz w:val="18"/>
                <w:szCs w:val="18"/>
              </w:rPr>
            </w:pPr>
            <w:r w:rsidRPr="00E63BC6">
              <w:rPr>
                <w:rFonts w:ascii="Arial" w:hAnsi="Arial" w:cs="Arial"/>
                <w:sz w:val="18"/>
                <w:szCs w:val="18"/>
              </w:rPr>
              <w:t>Historic</w:t>
            </w:r>
            <w:r w:rsidR="001D0AC9">
              <w:rPr>
                <w:rFonts w:ascii="Arial" w:hAnsi="Arial" w:cs="Arial"/>
                <w:sz w:val="18"/>
                <w:szCs w:val="18"/>
              </w:rPr>
              <w:t>al</w:t>
            </w:r>
            <w:r w:rsidRPr="00E63BC6">
              <w:rPr>
                <w:rFonts w:ascii="Arial" w:hAnsi="Arial" w:cs="Arial"/>
                <w:sz w:val="18"/>
                <w:szCs w:val="18"/>
              </w:rPr>
              <w:t xml:space="preserve"> Flows</w:t>
            </w:r>
            <w:r w:rsidRPr="00E63BC6">
              <w:rPr>
                <w:rFonts w:ascii="Arial" w:hAnsi="Arial" w:cs="Arial"/>
                <w:sz w:val="18"/>
                <w:szCs w:val="18"/>
              </w:rPr>
              <w:br/>
              <w:t>(</w:t>
            </w:r>
            <w:r>
              <w:rPr>
                <w:rFonts w:ascii="Arial" w:hAnsi="Arial" w:cs="Arial"/>
                <w:sz w:val="18"/>
                <w:szCs w:val="18"/>
              </w:rPr>
              <w:t xml:space="preserve">before </w:t>
            </w:r>
            <w:r w:rsidRPr="00E63BC6">
              <w:rPr>
                <w:rFonts w:ascii="Arial" w:hAnsi="Arial" w:cs="Arial"/>
                <w:sz w:val="18"/>
                <w:szCs w:val="18"/>
              </w:rPr>
              <w:t>1991)</w:t>
            </w:r>
          </w:p>
        </w:tc>
        <w:tc>
          <w:tcPr>
            <w:tcW w:w="2130" w:type="dxa"/>
            <w:tcBorders>
              <w:top w:val="single" w:sz="4" w:space="0" w:color="auto"/>
              <w:bottom w:val="single" w:sz="4" w:space="0" w:color="auto"/>
            </w:tcBorders>
            <w:vAlign w:val="bottom"/>
          </w:tcPr>
          <w:p w:rsidR="003B1008" w:rsidRPr="00E63BC6" w:rsidRDefault="003B1008" w:rsidP="007F3F08">
            <w:pPr>
              <w:jc w:val="center"/>
              <w:rPr>
                <w:rFonts w:ascii="Arial" w:hAnsi="Arial" w:cs="Arial"/>
                <w:sz w:val="18"/>
                <w:szCs w:val="18"/>
              </w:rPr>
            </w:pPr>
            <w:r>
              <w:rPr>
                <w:rFonts w:ascii="Arial" w:hAnsi="Arial" w:cs="Arial"/>
                <w:sz w:val="18"/>
                <w:szCs w:val="18"/>
              </w:rPr>
              <w:t xml:space="preserve">1996 </w:t>
            </w:r>
            <w:r w:rsidRPr="00E63BC6">
              <w:rPr>
                <w:rFonts w:ascii="Arial" w:hAnsi="Arial" w:cs="Arial"/>
                <w:sz w:val="18"/>
                <w:szCs w:val="18"/>
              </w:rPr>
              <w:t>ROD Flows</w:t>
            </w:r>
            <w:r w:rsidRPr="00E63BC6">
              <w:rPr>
                <w:rFonts w:ascii="Arial" w:hAnsi="Arial" w:cs="Arial"/>
                <w:sz w:val="18"/>
                <w:szCs w:val="18"/>
              </w:rPr>
              <w:br/>
              <w:t>(</w:t>
            </w:r>
            <w:r>
              <w:rPr>
                <w:rFonts w:ascii="Arial" w:hAnsi="Arial" w:cs="Arial"/>
                <w:sz w:val="18"/>
                <w:szCs w:val="18"/>
              </w:rPr>
              <w:t xml:space="preserve">from </w:t>
            </w:r>
            <w:r w:rsidRPr="00E63BC6">
              <w:rPr>
                <w:rFonts w:ascii="Arial" w:hAnsi="Arial" w:cs="Arial"/>
                <w:sz w:val="18"/>
                <w:szCs w:val="18"/>
              </w:rPr>
              <w:t>1997</w:t>
            </w:r>
            <w:r>
              <w:rPr>
                <w:rFonts w:ascii="Arial" w:hAnsi="Arial" w:cs="Arial"/>
                <w:sz w:val="18"/>
                <w:szCs w:val="18"/>
              </w:rPr>
              <w:t xml:space="preserve"> to 2017</w:t>
            </w:r>
            <w:r w:rsidRPr="00E63BC6">
              <w:rPr>
                <w:rFonts w:ascii="Arial" w:hAnsi="Arial" w:cs="Arial"/>
                <w:sz w:val="18"/>
                <w:szCs w:val="18"/>
              </w:rPr>
              <w:t>)</w:t>
            </w:r>
          </w:p>
        </w:tc>
        <w:tc>
          <w:tcPr>
            <w:tcW w:w="2790" w:type="dxa"/>
            <w:tcBorders>
              <w:top w:val="single" w:sz="4" w:space="0" w:color="auto"/>
              <w:bottom w:val="single" w:sz="4" w:space="0" w:color="auto"/>
            </w:tcBorders>
          </w:tcPr>
          <w:p w:rsidR="003B1008" w:rsidRPr="00E25099" w:rsidRDefault="003B1008" w:rsidP="003B1008">
            <w:pPr>
              <w:jc w:val="center"/>
              <w:rPr>
                <w:rFonts w:ascii="Arial" w:hAnsi="Arial" w:cs="Arial"/>
                <w:sz w:val="18"/>
                <w:szCs w:val="18"/>
              </w:rPr>
            </w:pPr>
            <w:r w:rsidRPr="00E25099">
              <w:rPr>
                <w:rFonts w:ascii="Arial" w:hAnsi="Arial" w:cs="Arial"/>
                <w:sz w:val="18"/>
                <w:szCs w:val="18"/>
              </w:rPr>
              <w:t>2016 ROD Flows</w:t>
            </w:r>
            <w:r w:rsidRPr="00E25099">
              <w:rPr>
                <w:rFonts w:ascii="Arial" w:hAnsi="Arial" w:cs="Arial"/>
                <w:sz w:val="18"/>
                <w:szCs w:val="18"/>
              </w:rPr>
              <w:br/>
              <w:t>(after 2017)</w:t>
            </w:r>
          </w:p>
        </w:tc>
      </w:tr>
      <w:tr w:rsidR="003B1008" w:rsidRPr="0066455B" w:rsidTr="001E5ACE">
        <w:tc>
          <w:tcPr>
            <w:tcW w:w="1422" w:type="dxa"/>
            <w:gridSpan w:val="2"/>
            <w:tcBorders>
              <w:top w:val="single" w:sz="4" w:space="0" w:color="auto"/>
            </w:tcBorders>
          </w:tcPr>
          <w:p w:rsidR="003B1008" w:rsidRPr="00430BAC" w:rsidRDefault="003B1008" w:rsidP="009F1C34">
            <w:pPr>
              <w:jc w:val="left"/>
              <w:rPr>
                <w:rFonts w:ascii="Arial" w:hAnsi="Arial" w:cs="Arial"/>
                <w:sz w:val="18"/>
                <w:szCs w:val="18"/>
              </w:rPr>
            </w:pPr>
            <w:r w:rsidRPr="00430BAC">
              <w:rPr>
                <w:rFonts w:ascii="Arial" w:hAnsi="Arial" w:cs="Arial"/>
                <w:sz w:val="18"/>
                <w:szCs w:val="18"/>
              </w:rPr>
              <w:t xml:space="preserve">Minimum </w:t>
            </w:r>
            <w:r w:rsidR="009F1C34" w:rsidRPr="00430BAC">
              <w:rPr>
                <w:rFonts w:ascii="Arial" w:hAnsi="Arial" w:cs="Arial"/>
                <w:sz w:val="18"/>
                <w:szCs w:val="18"/>
              </w:rPr>
              <w:t>flows</w:t>
            </w:r>
            <w:r w:rsidRPr="00430BAC">
              <w:rPr>
                <w:rFonts w:ascii="Arial" w:hAnsi="Arial" w:cs="Arial"/>
                <w:sz w:val="18"/>
                <w:szCs w:val="18"/>
              </w:rPr>
              <w:br/>
              <w:t>(cfs)</w:t>
            </w:r>
          </w:p>
        </w:tc>
        <w:tc>
          <w:tcPr>
            <w:tcW w:w="2460" w:type="dxa"/>
            <w:tcBorders>
              <w:top w:val="single" w:sz="4" w:space="0" w:color="auto"/>
            </w:tcBorders>
          </w:tcPr>
          <w:p w:rsidR="003B1008" w:rsidRPr="00430BAC" w:rsidRDefault="003B1008" w:rsidP="003B1008">
            <w:pPr>
              <w:rPr>
                <w:rFonts w:ascii="Arial" w:hAnsi="Arial" w:cs="Arial"/>
                <w:i/>
                <w:sz w:val="18"/>
                <w:szCs w:val="18"/>
              </w:rPr>
            </w:pPr>
            <w:r w:rsidRPr="00430BAC">
              <w:rPr>
                <w:rFonts w:ascii="Arial" w:hAnsi="Arial" w:cs="Arial"/>
                <w:i/>
                <w:sz w:val="18"/>
                <w:szCs w:val="18"/>
              </w:rPr>
              <w:t>3,000 during the summer</w:t>
            </w:r>
          </w:p>
          <w:p w:rsidR="003B1008" w:rsidRPr="00430BAC" w:rsidRDefault="003B1008" w:rsidP="003B1008">
            <w:pPr>
              <w:rPr>
                <w:rFonts w:ascii="Arial" w:hAnsi="Arial" w:cs="Arial"/>
                <w:i/>
                <w:sz w:val="18"/>
                <w:szCs w:val="18"/>
              </w:rPr>
            </w:pPr>
          </w:p>
          <w:p w:rsidR="003B1008" w:rsidRPr="00430BAC" w:rsidRDefault="003B1008" w:rsidP="003B1008">
            <w:pPr>
              <w:rPr>
                <w:rFonts w:ascii="Arial" w:hAnsi="Arial" w:cs="Arial"/>
                <w:i/>
                <w:sz w:val="18"/>
                <w:szCs w:val="18"/>
              </w:rPr>
            </w:pPr>
            <w:r w:rsidRPr="00430BAC">
              <w:rPr>
                <w:rFonts w:ascii="Arial" w:hAnsi="Arial" w:cs="Arial"/>
                <w:i/>
                <w:sz w:val="18"/>
                <w:szCs w:val="18"/>
              </w:rPr>
              <w:t>1,000 during the rest of the year</w:t>
            </w:r>
          </w:p>
        </w:tc>
        <w:tc>
          <w:tcPr>
            <w:tcW w:w="2130" w:type="dxa"/>
            <w:tcBorders>
              <w:top w:val="single" w:sz="4" w:space="0" w:color="auto"/>
            </w:tcBorders>
          </w:tcPr>
          <w:p w:rsidR="003B1008" w:rsidRPr="00430BAC" w:rsidRDefault="003B1008" w:rsidP="003B1008">
            <w:pPr>
              <w:rPr>
                <w:rFonts w:ascii="Arial" w:hAnsi="Arial" w:cs="Arial"/>
                <w:i/>
                <w:sz w:val="18"/>
                <w:szCs w:val="18"/>
              </w:rPr>
            </w:pPr>
            <w:r w:rsidRPr="00430BAC">
              <w:rPr>
                <w:rFonts w:ascii="Arial" w:hAnsi="Arial" w:cs="Arial"/>
                <w:i/>
                <w:sz w:val="18"/>
                <w:szCs w:val="18"/>
              </w:rPr>
              <w:t>8,000 from 7:00 a.m. to 7:00 p.m.</w:t>
            </w:r>
          </w:p>
          <w:p w:rsidR="003B1008" w:rsidRPr="00430BAC" w:rsidRDefault="003B1008" w:rsidP="003B1008">
            <w:pPr>
              <w:rPr>
                <w:rFonts w:ascii="Arial" w:hAnsi="Arial" w:cs="Arial"/>
                <w:i/>
                <w:sz w:val="18"/>
                <w:szCs w:val="18"/>
              </w:rPr>
            </w:pPr>
          </w:p>
          <w:p w:rsidR="003B1008" w:rsidRPr="00430BAC" w:rsidRDefault="003B1008" w:rsidP="003B1008">
            <w:pPr>
              <w:rPr>
                <w:rFonts w:ascii="Arial" w:hAnsi="Arial" w:cs="Arial"/>
                <w:i/>
                <w:sz w:val="18"/>
                <w:szCs w:val="18"/>
              </w:rPr>
            </w:pPr>
            <w:r w:rsidRPr="00430BAC">
              <w:rPr>
                <w:rFonts w:ascii="Arial" w:hAnsi="Arial" w:cs="Arial"/>
                <w:i/>
                <w:sz w:val="18"/>
                <w:szCs w:val="18"/>
              </w:rPr>
              <w:t>5,000 at night</w:t>
            </w:r>
          </w:p>
        </w:tc>
        <w:tc>
          <w:tcPr>
            <w:tcW w:w="2790" w:type="dxa"/>
            <w:tcBorders>
              <w:top w:val="single" w:sz="4" w:space="0" w:color="auto"/>
            </w:tcBorders>
          </w:tcPr>
          <w:p w:rsidR="003B1008" w:rsidRPr="00E25099" w:rsidRDefault="003B1008" w:rsidP="001E5ACE">
            <w:pPr>
              <w:jc w:val="left"/>
              <w:rPr>
                <w:rFonts w:ascii="Arial" w:hAnsi="Arial" w:cs="Arial"/>
                <w:i/>
                <w:sz w:val="18"/>
                <w:szCs w:val="18"/>
              </w:rPr>
            </w:pPr>
            <w:r w:rsidRPr="00E25099">
              <w:rPr>
                <w:rFonts w:ascii="Arial" w:hAnsi="Arial" w:cs="Arial"/>
                <w:i/>
                <w:sz w:val="18"/>
                <w:szCs w:val="18"/>
              </w:rPr>
              <w:t xml:space="preserve">8,000 from 7:00 a.m. to </w:t>
            </w:r>
            <w:r w:rsidR="001E5ACE" w:rsidRPr="00E25099">
              <w:rPr>
                <w:rFonts w:ascii="Arial" w:hAnsi="Arial" w:cs="Arial"/>
                <w:i/>
                <w:sz w:val="18"/>
                <w:szCs w:val="18"/>
              </w:rPr>
              <w:br/>
            </w:r>
            <w:r w:rsidRPr="00E25099">
              <w:rPr>
                <w:rFonts w:ascii="Arial" w:hAnsi="Arial" w:cs="Arial"/>
                <w:i/>
                <w:sz w:val="18"/>
                <w:szCs w:val="18"/>
              </w:rPr>
              <w:t>7:00 p.m.</w:t>
            </w:r>
          </w:p>
          <w:p w:rsidR="003B1008" w:rsidRPr="00E25099" w:rsidRDefault="003B1008" w:rsidP="001E5ACE">
            <w:pPr>
              <w:jc w:val="left"/>
              <w:rPr>
                <w:rFonts w:ascii="Arial" w:hAnsi="Arial" w:cs="Arial"/>
                <w:i/>
                <w:sz w:val="18"/>
                <w:szCs w:val="18"/>
              </w:rPr>
            </w:pPr>
          </w:p>
          <w:p w:rsidR="003B1008" w:rsidRPr="00E25099" w:rsidRDefault="003B1008" w:rsidP="001E5ACE">
            <w:pPr>
              <w:jc w:val="left"/>
              <w:rPr>
                <w:rFonts w:ascii="Arial" w:hAnsi="Arial" w:cs="Arial"/>
                <w:i/>
                <w:sz w:val="18"/>
                <w:szCs w:val="18"/>
              </w:rPr>
            </w:pPr>
            <w:r w:rsidRPr="00E25099">
              <w:rPr>
                <w:rFonts w:ascii="Arial" w:hAnsi="Arial" w:cs="Arial"/>
                <w:i/>
                <w:sz w:val="18"/>
                <w:szCs w:val="18"/>
              </w:rPr>
              <w:t>5,000 at night</w:t>
            </w:r>
          </w:p>
        </w:tc>
      </w:tr>
      <w:tr w:rsidR="003B1008" w:rsidRPr="0066455B" w:rsidTr="001E5ACE">
        <w:trPr>
          <w:trHeight w:val="245"/>
        </w:trPr>
        <w:tc>
          <w:tcPr>
            <w:tcW w:w="1422" w:type="dxa"/>
            <w:gridSpan w:val="2"/>
          </w:tcPr>
          <w:p w:rsidR="003B1008" w:rsidRPr="00430BAC" w:rsidRDefault="003B1008" w:rsidP="009F1C34">
            <w:pPr>
              <w:jc w:val="left"/>
              <w:rPr>
                <w:rFonts w:ascii="Arial" w:hAnsi="Arial" w:cs="Arial"/>
                <w:sz w:val="18"/>
                <w:szCs w:val="18"/>
              </w:rPr>
            </w:pPr>
          </w:p>
        </w:tc>
        <w:tc>
          <w:tcPr>
            <w:tcW w:w="2460" w:type="dxa"/>
          </w:tcPr>
          <w:p w:rsidR="003B1008" w:rsidRPr="00430BAC" w:rsidRDefault="003B1008" w:rsidP="003B1008">
            <w:pPr>
              <w:rPr>
                <w:rFonts w:ascii="Arial" w:hAnsi="Arial" w:cs="Arial"/>
                <w:i/>
                <w:sz w:val="18"/>
                <w:szCs w:val="18"/>
              </w:rPr>
            </w:pPr>
          </w:p>
        </w:tc>
        <w:tc>
          <w:tcPr>
            <w:tcW w:w="2130" w:type="dxa"/>
          </w:tcPr>
          <w:p w:rsidR="003B1008" w:rsidRPr="00430BAC" w:rsidRDefault="003B1008" w:rsidP="003B1008">
            <w:pPr>
              <w:rPr>
                <w:rFonts w:ascii="Arial" w:hAnsi="Arial" w:cs="Arial"/>
                <w:i/>
                <w:sz w:val="18"/>
                <w:szCs w:val="18"/>
              </w:rPr>
            </w:pPr>
          </w:p>
        </w:tc>
        <w:tc>
          <w:tcPr>
            <w:tcW w:w="2790" w:type="dxa"/>
          </w:tcPr>
          <w:p w:rsidR="003B1008" w:rsidRPr="00E25099" w:rsidRDefault="003B1008" w:rsidP="001E5ACE">
            <w:pPr>
              <w:jc w:val="left"/>
              <w:rPr>
                <w:rFonts w:ascii="Arial" w:hAnsi="Arial" w:cs="Arial"/>
                <w:i/>
                <w:sz w:val="18"/>
                <w:szCs w:val="18"/>
              </w:rPr>
            </w:pPr>
          </w:p>
        </w:tc>
      </w:tr>
      <w:tr w:rsidR="003B1008" w:rsidRPr="0066455B" w:rsidTr="001E5ACE">
        <w:tc>
          <w:tcPr>
            <w:tcW w:w="1422" w:type="dxa"/>
            <w:gridSpan w:val="2"/>
            <w:tcBorders>
              <w:bottom w:val="single" w:sz="4" w:space="0" w:color="auto"/>
            </w:tcBorders>
          </w:tcPr>
          <w:p w:rsidR="003B1008" w:rsidRPr="00430BAC" w:rsidRDefault="003B1008" w:rsidP="009F1C34">
            <w:pPr>
              <w:jc w:val="left"/>
              <w:rPr>
                <w:rFonts w:ascii="Arial" w:hAnsi="Arial" w:cs="Arial"/>
                <w:sz w:val="18"/>
                <w:szCs w:val="18"/>
              </w:rPr>
            </w:pPr>
            <w:r w:rsidRPr="00430BAC">
              <w:rPr>
                <w:rFonts w:ascii="Arial" w:hAnsi="Arial" w:cs="Arial"/>
                <w:sz w:val="18"/>
                <w:szCs w:val="18"/>
              </w:rPr>
              <w:t xml:space="preserve">Maximum </w:t>
            </w:r>
            <w:r w:rsidR="009F1C34" w:rsidRPr="00430BAC">
              <w:rPr>
                <w:rFonts w:ascii="Arial" w:hAnsi="Arial" w:cs="Arial"/>
                <w:sz w:val="18"/>
                <w:szCs w:val="18"/>
              </w:rPr>
              <w:t xml:space="preserve">non-experimental flows </w:t>
            </w:r>
            <w:r w:rsidRPr="00430BAC">
              <w:rPr>
                <w:rFonts w:ascii="Arial" w:hAnsi="Arial" w:cs="Arial"/>
                <w:sz w:val="18"/>
                <w:szCs w:val="18"/>
              </w:rPr>
              <w:t>(cfs)</w:t>
            </w:r>
            <w:r w:rsidR="00F70314" w:rsidRPr="00F70314">
              <w:rPr>
                <w:rFonts w:ascii="Arial" w:hAnsi="Arial" w:cs="Arial"/>
                <w:i/>
                <w:sz w:val="18"/>
                <w:szCs w:val="18"/>
                <w:vertAlign w:val="superscript"/>
              </w:rPr>
              <w:t>a</w:t>
            </w:r>
          </w:p>
          <w:p w:rsidR="003B1008" w:rsidRPr="00430BAC" w:rsidRDefault="003B1008" w:rsidP="009F1C34">
            <w:pPr>
              <w:jc w:val="left"/>
              <w:rPr>
                <w:rFonts w:ascii="Arial" w:hAnsi="Arial" w:cs="Arial"/>
                <w:sz w:val="18"/>
                <w:szCs w:val="18"/>
              </w:rPr>
            </w:pPr>
          </w:p>
        </w:tc>
        <w:tc>
          <w:tcPr>
            <w:tcW w:w="2460" w:type="dxa"/>
            <w:tcBorders>
              <w:bottom w:val="single" w:sz="4" w:space="0" w:color="auto"/>
            </w:tcBorders>
          </w:tcPr>
          <w:p w:rsidR="003B1008" w:rsidRPr="00430BAC" w:rsidRDefault="003B1008" w:rsidP="003B1008">
            <w:pPr>
              <w:rPr>
                <w:rFonts w:ascii="Arial" w:hAnsi="Arial" w:cs="Arial"/>
                <w:i/>
                <w:sz w:val="18"/>
                <w:szCs w:val="18"/>
              </w:rPr>
            </w:pPr>
            <w:r w:rsidRPr="00430BAC">
              <w:rPr>
                <w:rFonts w:ascii="Arial" w:hAnsi="Arial" w:cs="Arial"/>
                <w:i/>
                <w:sz w:val="18"/>
                <w:szCs w:val="18"/>
              </w:rPr>
              <w:t>31,500</w:t>
            </w:r>
          </w:p>
        </w:tc>
        <w:tc>
          <w:tcPr>
            <w:tcW w:w="2130" w:type="dxa"/>
            <w:tcBorders>
              <w:bottom w:val="single" w:sz="4" w:space="0" w:color="auto"/>
            </w:tcBorders>
          </w:tcPr>
          <w:p w:rsidR="003B1008" w:rsidRPr="00430BAC" w:rsidRDefault="003B1008" w:rsidP="003B1008">
            <w:pPr>
              <w:rPr>
                <w:rFonts w:ascii="Arial" w:hAnsi="Arial" w:cs="Arial"/>
                <w:i/>
                <w:sz w:val="18"/>
                <w:szCs w:val="18"/>
              </w:rPr>
            </w:pPr>
            <w:r w:rsidRPr="00430BAC">
              <w:rPr>
                <w:rFonts w:ascii="Arial" w:hAnsi="Arial" w:cs="Arial"/>
                <w:i/>
                <w:sz w:val="18"/>
                <w:szCs w:val="18"/>
              </w:rPr>
              <w:t>25,000</w:t>
            </w:r>
          </w:p>
        </w:tc>
        <w:tc>
          <w:tcPr>
            <w:tcW w:w="2790" w:type="dxa"/>
            <w:tcBorders>
              <w:bottom w:val="single" w:sz="4" w:space="0" w:color="auto"/>
            </w:tcBorders>
          </w:tcPr>
          <w:p w:rsidR="003B1008" w:rsidRPr="00E25099" w:rsidRDefault="003B1008" w:rsidP="00F70314">
            <w:pPr>
              <w:jc w:val="left"/>
              <w:rPr>
                <w:rFonts w:ascii="Arial" w:hAnsi="Arial" w:cs="Arial"/>
                <w:i/>
                <w:sz w:val="18"/>
                <w:szCs w:val="18"/>
                <w:vertAlign w:val="superscript"/>
              </w:rPr>
            </w:pPr>
            <w:r w:rsidRPr="00E25099">
              <w:rPr>
                <w:rFonts w:ascii="Arial" w:hAnsi="Arial" w:cs="Arial"/>
                <w:i/>
                <w:sz w:val="18"/>
                <w:szCs w:val="18"/>
              </w:rPr>
              <w:t>25,000</w:t>
            </w:r>
          </w:p>
        </w:tc>
      </w:tr>
      <w:tr w:rsidR="003B1008" w:rsidRPr="005F3C98" w:rsidTr="001E5ACE">
        <w:tc>
          <w:tcPr>
            <w:tcW w:w="1422" w:type="dxa"/>
            <w:gridSpan w:val="2"/>
            <w:tcBorders>
              <w:bottom w:val="single" w:sz="4" w:space="0" w:color="auto"/>
            </w:tcBorders>
          </w:tcPr>
          <w:p w:rsidR="003B1008" w:rsidRPr="002A6147" w:rsidRDefault="003B1008" w:rsidP="009F1C34">
            <w:pPr>
              <w:jc w:val="left"/>
              <w:rPr>
                <w:rFonts w:ascii="Arial" w:hAnsi="Arial" w:cs="Arial"/>
                <w:sz w:val="18"/>
                <w:szCs w:val="18"/>
                <w:vertAlign w:val="superscript"/>
              </w:rPr>
            </w:pPr>
            <w:r w:rsidRPr="005F3C98">
              <w:rPr>
                <w:rFonts w:ascii="Arial" w:hAnsi="Arial" w:cs="Arial"/>
                <w:sz w:val="18"/>
                <w:szCs w:val="18"/>
              </w:rPr>
              <w:t>Daily fluctuations</w:t>
            </w:r>
            <w:r w:rsidRPr="005F3C98">
              <w:rPr>
                <w:rFonts w:ascii="Arial" w:hAnsi="Arial" w:cs="Arial"/>
                <w:sz w:val="18"/>
                <w:szCs w:val="18"/>
              </w:rPr>
              <w:br/>
              <w:t>(cfs/24 hr)</w:t>
            </w:r>
            <w:r w:rsidR="00F70314" w:rsidRPr="005F3C98">
              <w:rPr>
                <w:rFonts w:ascii="Arial" w:hAnsi="Arial" w:cs="Arial"/>
                <w:sz w:val="18"/>
                <w:szCs w:val="18"/>
                <w:vertAlign w:val="superscript"/>
              </w:rPr>
              <w:t>b</w:t>
            </w:r>
            <w:r w:rsidR="001D54E4" w:rsidRPr="005F3C98">
              <w:rPr>
                <w:rFonts w:ascii="Arial" w:hAnsi="Arial" w:cs="Arial"/>
                <w:sz w:val="18"/>
                <w:szCs w:val="18"/>
                <w:vertAlign w:val="superscript"/>
              </w:rPr>
              <w:t>, c</w:t>
            </w:r>
          </w:p>
        </w:tc>
        <w:tc>
          <w:tcPr>
            <w:tcW w:w="2460" w:type="dxa"/>
            <w:tcBorders>
              <w:bottom w:val="single" w:sz="4" w:space="0" w:color="auto"/>
            </w:tcBorders>
          </w:tcPr>
          <w:p w:rsidR="003B1008" w:rsidRPr="002104A3" w:rsidRDefault="003B1008" w:rsidP="003B1008">
            <w:pPr>
              <w:rPr>
                <w:rFonts w:ascii="Arial" w:hAnsi="Arial" w:cs="Arial"/>
                <w:i/>
                <w:sz w:val="18"/>
                <w:szCs w:val="18"/>
              </w:rPr>
            </w:pPr>
            <w:r w:rsidRPr="00D63576">
              <w:rPr>
                <w:rFonts w:ascii="Arial" w:hAnsi="Arial" w:cs="Arial"/>
                <w:i/>
                <w:sz w:val="18"/>
                <w:szCs w:val="18"/>
              </w:rPr>
              <w:t>28,500 during th</w:t>
            </w:r>
            <w:r w:rsidRPr="002104A3">
              <w:rPr>
                <w:rFonts w:ascii="Arial" w:hAnsi="Arial" w:cs="Arial"/>
                <w:i/>
                <w:sz w:val="18"/>
                <w:szCs w:val="18"/>
              </w:rPr>
              <w:t>e summer</w:t>
            </w:r>
          </w:p>
          <w:p w:rsidR="003B1008" w:rsidRPr="005F3C98" w:rsidRDefault="003B1008" w:rsidP="003B1008">
            <w:pPr>
              <w:rPr>
                <w:rFonts w:ascii="Arial" w:hAnsi="Arial" w:cs="Arial"/>
                <w:i/>
                <w:sz w:val="18"/>
                <w:szCs w:val="18"/>
              </w:rPr>
            </w:pPr>
          </w:p>
          <w:p w:rsidR="003B1008" w:rsidRPr="005F3C98" w:rsidRDefault="003B1008" w:rsidP="003B1008">
            <w:pPr>
              <w:rPr>
                <w:rFonts w:ascii="Arial" w:hAnsi="Arial" w:cs="Arial"/>
                <w:i/>
                <w:sz w:val="18"/>
                <w:szCs w:val="18"/>
              </w:rPr>
            </w:pPr>
            <w:r w:rsidRPr="005F3C98">
              <w:rPr>
                <w:rFonts w:ascii="Arial" w:hAnsi="Arial" w:cs="Arial"/>
                <w:i/>
                <w:sz w:val="18"/>
                <w:szCs w:val="18"/>
              </w:rPr>
              <w:t xml:space="preserve">30,500 during the rest </w:t>
            </w:r>
            <w:r w:rsidRPr="005F3C98">
              <w:rPr>
                <w:rFonts w:ascii="Arial" w:hAnsi="Arial" w:cs="Arial"/>
                <w:i/>
                <w:sz w:val="18"/>
                <w:szCs w:val="18"/>
              </w:rPr>
              <w:br/>
              <w:t>of the year</w:t>
            </w:r>
          </w:p>
          <w:p w:rsidR="003B1008" w:rsidRPr="005F3C98" w:rsidRDefault="003B1008" w:rsidP="003B1008">
            <w:pPr>
              <w:rPr>
                <w:rFonts w:ascii="Arial" w:hAnsi="Arial" w:cs="Arial"/>
                <w:i/>
                <w:sz w:val="18"/>
                <w:szCs w:val="18"/>
              </w:rPr>
            </w:pPr>
          </w:p>
        </w:tc>
        <w:tc>
          <w:tcPr>
            <w:tcW w:w="2130" w:type="dxa"/>
            <w:tcBorders>
              <w:bottom w:val="single" w:sz="4" w:space="0" w:color="auto"/>
            </w:tcBorders>
          </w:tcPr>
          <w:p w:rsidR="003B1008" w:rsidRPr="005F3C98" w:rsidRDefault="003B1008" w:rsidP="003B1008">
            <w:pPr>
              <w:rPr>
                <w:rFonts w:ascii="Arial" w:hAnsi="Arial" w:cs="Arial"/>
                <w:i/>
                <w:sz w:val="18"/>
                <w:szCs w:val="18"/>
              </w:rPr>
            </w:pPr>
            <w:r w:rsidRPr="005F3C98">
              <w:rPr>
                <w:rFonts w:ascii="Arial" w:hAnsi="Arial" w:cs="Arial"/>
                <w:i/>
                <w:sz w:val="18"/>
                <w:szCs w:val="18"/>
              </w:rPr>
              <w:t>5,000, 6,000, or 8,000</w:t>
            </w:r>
          </w:p>
          <w:p w:rsidR="003B1008" w:rsidRPr="005F3C98" w:rsidRDefault="003B1008" w:rsidP="003B1008">
            <w:pPr>
              <w:rPr>
                <w:rFonts w:ascii="Arial" w:hAnsi="Arial" w:cs="Arial"/>
                <w:i/>
                <w:sz w:val="18"/>
                <w:szCs w:val="18"/>
              </w:rPr>
            </w:pPr>
            <w:r w:rsidRPr="005F3C98">
              <w:rPr>
                <w:rFonts w:ascii="Arial" w:hAnsi="Arial" w:cs="Arial"/>
                <w:i/>
                <w:sz w:val="18"/>
                <w:szCs w:val="18"/>
              </w:rPr>
              <w:t>depending on release</w:t>
            </w:r>
          </w:p>
          <w:p w:rsidR="003B1008" w:rsidRPr="005F3C98" w:rsidRDefault="003B1008" w:rsidP="003B1008">
            <w:pPr>
              <w:rPr>
                <w:rFonts w:ascii="Arial" w:hAnsi="Arial" w:cs="Arial"/>
                <w:i/>
                <w:sz w:val="18"/>
                <w:szCs w:val="18"/>
                <w:vertAlign w:val="superscript"/>
              </w:rPr>
            </w:pPr>
            <w:r w:rsidRPr="005F3C98">
              <w:rPr>
                <w:rFonts w:ascii="Arial" w:hAnsi="Arial" w:cs="Arial"/>
                <w:i/>
                <w:sz w:val="18"/>
                <w:szCs w:val="18"/>
              </w:rPr>
              <w:t>volume</w:t>
            </w:r>
          </w:p>
          <w:p w:rsidR="003B1008" w:rsidRPr="005F3C98" w:rsidRDefault="003B1008" w:rsidP="003B1008">
            <w:pPr>
              <w:rPr>
                <w:rFonts w:ascii="Arial" w:hAnsi="Arial" w:cs="Arial"/>
                <w:i/>
                <w:sz w:val="18"/>
                <w:szCs w:val="18"/>
              </w:rPr>
            </w:pPr>
          </w:p>
        </w:tc>
        <w:tc>
          <w:tcPr>
            <w:tcW w:w="2790" w:type="dxa"/>
            <w:tcBorders>
              <w:bottom w:val="single" w:sz="4" w:space="0" w:color="auto"/>
            </w:tcBorders>
          </w:tcPr>
          <w:p w:rsidR="003B1008" w:rsidRPr="00E25099" w:rsidRDefault="009F1C34" w:rsidP="00EB1040">
            <w:pPr>
              <w:jc w:val="left"/>
              <w:rPr>
                <w:rFonts w:ascii="Arial" w:hAnsi="Arial" w:cs="Arial"/>
                <w:i/>
                <w:sz w:val="18"/>
                <w:szCs w:val="18"/>
                <w:vertAlign w:val="superscript"/>
              </w:rPr>
            </w:pPr>
            <w:r w:rsidRPr="00E25099">
              <w:rPr>
                <w:rFonts w:ascii="Arial" w:hAnsi="Arial" w:cs="Arial"/>
                <w:i/>
                <w:sz w:val="18"/>
                <w:szCs w:val="18"/>
              </w:rPr>
              <w:t>E</w:t>
            </w:r>
            <w:r w:rsidR="003B1008" w:rsidRPr="00E25099">
              <w:rPr>
                <w:rFonts w:ascii="Arial" w:hAnsi="Arial" w:cs="Arial"/>
                <w:i/>
                <w:sz w:val="18"/>
                <w:szCs w:val="18"/>
              </w:rPr>
              <w:t>qual to 10 X monthly water release</w:t>
            </w:r>
            <w:r w:rsidR="00F359CD" w:rsidRPr="00E25099">
              <w:rPr>
                <w:rFonts w:ascii="Arial" w:hAnsi="Arial" w:cs="Arial"/>
                <w:i/>
                <w:sz w:val="18"/>
                <w:szCs w:val="18"/>
              </w:rPr>
              <w:t xml:space="preserve"> (in TAF)</w:t>
            </w:r>
            <w:r w:rsidR="003B1008" w:rsidRPr="00E25099">
              <w:rPr>
                <w:rFonts w:ascii="Arial" w:hAnsi="Arial" w:cs="Arial"/>
                <w:i/>
                <w:sz w:val="18"/>
                <w:szCs w:val="18"/>
              </w:rPr>
              <w:t xml:space="preserve"> during June-August, </w:t>
            </w:r>
            <w:r w:rsidR="003B1008" w:rsidRPr="00E25099">
              <w:rPr>
                <w:rFonts w:ascii="Arial" w:hAnsi="Arial" w:cs="Arial"/>
                <w:i/>
                <w:sz w:val="18"/>
                <w:szCs w:val="18"/>
              </w:rPr>
              <w:br/>
            </w:r>
            <w:r w:rsidRPr="00E25099">
              <w:rPr>
                <w:rFonts w:ascii="Arial" w:hAnsi="Arial" w:cs="Arial"/>
                <w:i/>
                <w:sz w:val="18"/>
                <w:szCs w:val="18"/>
              </w:rPr>
              <w:t xml:space="preserve">and </w:t>
            </w:r>
            <w:r w:rsidR="003B1008" w:rsidRPr="00E25099">
              <w:rPr>
                <w:rFonts w:ascii="Arial" w:hAnsi="Arial" w:cs="Arial"/>
                <w:i/>
                <w:sz w:val="18"/>
                <w:szCs w:val="18"/>
              </w:rPr>
              <w:t>equal to 9 X monthly water release the rest of the year</w:t>
            </w:r>
            <w:r w:rsidRPr="00E25099">
              <w:rPr>
                <w:rFonts w:ascii="Arial" w:hAnsi="Arial" w:cs="Arial"/>
                <w:i/>
                <w:sz w:val="18"/>
                <w:szCs w:val="18"/>
              </w:rPr>
              <w:t xml:space="preserve">, </w:t>
            </w:r>
            <w:r w:rsidR="001E5ACE" w:rsidRPr="00E25099">
              <w:rPr>
                <w:rFonts w:ascii="Arial" w:hAnsi="Arial" w:cs="Arial"/>
                <w:i/>
                <w:sz w:val="18"/>
                <w:szCs w:val="18"/>
              </w:rPr>
              <w:br/>
            </w:r>
            <w:r w:rsidRPr="00E25099">
              <w:rPr>
                <w:rFonts w:ascii="Arial" w:hAnsi="Arial" w:cs="Arial"/>
                <w:i/>
                <w:sz w:val="18"/>
                <w:szCs w:val="18"/>
              </w:rPr>
              <w:t xml:space="preserve">but </w:t>
            </w:r>
            <w:r w:rsidR="00EB1040" w:rsidRPr="00E25099">
              <w:rPr>
                <w:rFonts w:ascii="Arial" w:hAnsi="Arial" w:cs="Arial"/>
                <w:i/>
                <w:sz w:val="18"/>
                <w:szCs w:val="18"/>
              </w:rPr>
              <w:t>never exceeding</w:t>
            </w:r>
            <w:r w:rsidRPr="00E25099">
              <w:rPr>
                <w:rFonts w:ascii="Arial" w:hAnsi="Arial" w:cs="Arial"/>
                <w:i/>
                <w:sz w:val="18"/>
                <w:szCs w:val="18"/>
              </w:rPr>
              <w:t xml:space="preserve"> 8,000 cfs</w:t>
            </w:r>
          </w:p>
        </w:tc>
      </w:tr>
      <w:tr w:rsidR="003B1008" w:rsidRPr="005F3C98" w:rsidTr="00F70314">
        <w:tc>
          <w:tcPr>
            <w:tcW w:w="1422" w:type="dxa"/>
            <w:gridSpan w:val="2"/>
            <w:tcBorders>
              <w:bottom w:val="single" w:sz="4" w:space="0" w:color="auto"/>
            </w:tcBorders>
          </w:tcPr>
          <w:p w:rsidR="003B1008" w:rsidRPr="005F3C98" w:rsidRDefault="003B1008" w:rsidP="009F1C34">
            <w:pPr>
              <w:jc w:val="left"/>
              <w:rPr>
                <w:rFonts w:ascii="Arial" w:hAnsi="Arial" w:cs="Arial"/>
                <w:sz w:val="18"/>
                <w:szCs w:val="18"/>
                <w:vertAlign w:val="superscript"/>
              </w:rPr>
            </w:pPr>
            <w:r w:rsidRPr="005F3C98">
              <w:rPr>
                <w:rFonts w:ascii="Arial" w:hAnsi="Arial" w:cs="Arial"/>
                <w:sz w:val="18"/>
                <w:szCs w:val="18"/>
              </w:rPr>
              <w:t>Ramp rate (cfs/hr)</w:t>
            </w:r>
            <w:r w:rsidR="001D54E4" w:rsidRPr="005F3C98">
              <w:rPr>
                <w:rFonts w:ascii="Arial" w:hAnsi="Arial" w:cs="Arial"/>
                <w:sz w:val="18"/>
                <w:szCs w:val="18"/>
                <w:vertAlign w:val="superscript"/>
              </w:rPr>
              <w:t>d</w:t>
            </w:r>
          </w:p>
        </w:tc>
        <w:tc>
          <w:tcPr>
            <w:tcW w:w="2460" w:type="dxa"/>
            <w:tcBorders>
              <w:bottom w:val="single" w:sz="4" w:space="0" w:color="auto"/>
            </w:tcBorders>
          </w:tcPr>
          <w:p w:rsidR="003B1008" w:rsidRPr="005F3C98" w:rsidRDefault="003B1008" w:rsidP="003B1008">
            <w:pPr>
              <w:rPr>
                <w:rFonts w:ascii="Arial" w:hAnsi="Arial" w:cs="Arial"/>
                <w:i/>
                <w:sz w:val="18"/>
                <w:szCs w:val="18"/>
              </w:rPr>
            </w:pPr>
            <w:r w:rsidRPr="005F3C98">
              <w:rPr>
                <w:rFonts w:ascii="Arial" w:hAnsi="Arial" w:cs="Arial"/>
                <w:i/>
                <w:sz w:val="18"/>
                <w:szCs w:val="18"/>
              </w:rPr>
              <w:t>Unrestricted</w:t>
            </w:r>
          </w:p>
        </w:tc>
        <w:tc>
          <w:tcPr>
            <w:tcW w:w="2130" w:type="dxa"/>
            <w:tcBorders>
              <w:bottom w:val="single" w:sz="4" w:space="0" w:color="auto"/>
            </w:tcBorders>
          </w:tcPr>
          <w:p w:rsidR="003B1008" w:rsidRPr="005F3C98" w:rsidRDefault="003B1008" w:rsidP="003B1008">
            <w:pPr>
              <w:jc w:val="left"/>
              <w:rPr>
                <w:rFonts w:ascii="Arial" w:hAnsi="Arial" w:cs="Arial"/>
                <w:i/>
                <w:sz w:val="18"/>
                <w:szCs w:val="18"/>
              </w:rPr>
            </w:pPr>
            <w:r w:rsidRPr="005F3C98">
              <w:rPr>
                <w:rFonts w:ascii="Arial" w:hAnsi="Arial" w:cs="Arial"/>
                <w:i/>
                <w:sz w:val="18"/>
                <w:szCs w:val="18"/>
              </w:rPr>
              <w:t>4,000 up</w:t>
            </w:r>
            <w:r w:rsidRPr="005F3C98">
              <w:rPr>
                <w:rFonts w:ascii="Arial" w:hAnsi="Arial" w:cs="Arial"/>
                <w:i/>
                <w:sz w:val="18"/>
                <w:szCs w:val="18"/>
              </w:rPr>
              <w:br/>
              <w:t>1,500 down</w:t>
            </w:r>
          </w:p>
        </w:tc>
        <w:tc>
          <w:tcPr>
            <w:tcW w:w="2790" w:type="dxa"/>
            <w:tcBorders>
              <w:bottom w:val="single" w:sz="4" w:space="0" w:color="auto"/>
            </w:tcBorders>
          </w:tcPr>
          <w:p w:rsidR="003B1008" w:rsidRPr="00E25099" w:rsidRDefault="003B1008" w:rsidP="003B1008">
            <w:pPr>
              <w:jc w:val="left"/>
              <w:rPr>
                <w:rFonts w:ascii="Arial" w:hAnsi="Arial" w:cs="Arial"/>
                <w:i/>
                <w:sz w:val="18"/>
                <w:szCs w:val="18"/>
              </w:rPr>
            </w:pPr>
            <w:r w:rsidRPr="00E25099">
              <w:rPr>
                <w:rFonts w:ascii="Arial" w:hAnsi="Arial" w:cs="Arial"/>
                <w:i/>
                <w:sz w:val="18"/>
                <w:szCs w:val="18"/>
              </w:rPr>
              <w:t>4,000 up</w:t>
            </w:r>
            <w:r w:rsidRPr="00E25099">
              <w:rPr>
                <w:rFonts w:ascii="Arial" w:hAnsi="Arial" w:cs="Arial"/>
                <w:i/>
                <w:sz w:val="18"/>
                <w:szCs w:val="18"/>
              </w:rPr>
              <w:br/>
            </w:r>
            <w:r w:rsidRPr="00E25099">
              <w:rPr>
                <w:rFonts w:ascii="Arial" w:hAnsi="Arial" w:cs="Arial"/>
                <w:b/>
                <w:i/>
                <w:sz w:val="18"/>
                <w:szCs w:val="18"/>
              </w:rPr>
              <w:t>2,500 down</w:t>
            </w:r>
          </w:p>
        </w:tc>
      </w:tr>
      <w:tr w:rsidR="006E2D7A" w:rsidRPr="005F3C98" w:rsidTr="006E2D7A">
        <w:tc>
          <w:tcPr>
            <w:tcW w:w="342" w:type="dxa"/>
            <w:tcBorders>
              <w:top w:val="single" w:sz="4" w:space="0" w:color="auto"/>
            </w:tcBorders>
          </w:tcPr>
          <w:p w:rsidR="006E2D7A" w:rsidRPr="00E25099" w:rsidRDefault="006E2D7A" w:rsidP="00F70314">
            <w:pPr>
              <w:jc w:val="left"/>
              <w:rPr>
                <w:rFonts w:ascii="Arial" w:hAnsi="Arial" w:cs="Arial"/>
                <w:sz w:val="18"/>
                <w:szCs w:val="18"/>
              </w:rPr>
            </w:pPr>
            <w:r w:rsidRPr="00E25099">
              <w:rPr>
                <w:rFonts w:ascii="Arial" w:hAnsi="Arial" w:cs="Arial"/>
                <w:sz w:val="18"/>
                <w:szCs w:val="18"/>
                <w:vertAlign w:val="superscript"/>
              </w:rPr>
              <w:t>a</w:t>
            </w:r>
            <w:r w:rsidRPr="00E25099">
              <w:rPr>
                <w:rFonts w:ascii="Arial" w:hAnsi="Arial" w:cs="Arial"/>
                <w:sz w:val="18"/>
                <w:szCs w:val="18"/>
              </w:rPr>
              <w:br/>
            </w:r>
            <w:r w:rsidRPr="00E25099">
              <w:rPr>
                <w:rFonts w:ascii="Arial" w:hAnsi="Arial" w:cs="Arial"/>
                <w:sz w:val="18"/>
                <w:szCs w:val="18"/>
                <w:vertAlign w:val="superscript"/>
              </w:rPr>
              <w:t>b</w:t>
            </w:r>
            <w:r w:rsidRPr="00E25099">
              <w:rPr>
                <w:rFonts w:ascii="Arial" w:hAnsi="Arial" w:cs="Arial"/>
                <w:sz w:val="18"/>
                <w:szCs w:val="18"/>
              </w:rPr>
              <w:br/>
            </w:r>
            <w:r w:rsidRPr="00E25099">
              <w:rPr>
                <w:rFonts w:ascii="Arial" w:hAnsi="Arial" w:cs="Arial"/>
                <w:sz w:val="18"/>
                <w:szCs w:val="18"/>
                <w:vertAlign w:val="superscript"/>
              </w:rPr>
              <w:t>c</w:t>
            </w:r>
            <w:r w:rsidR="001D54E4" w:rsidRPr="00E25099">
              <w:rPr>
                <w:rFonts w:ascii="Arial" w:hAnsi="Arial" w:cs="Arial"/>
                <w:sz w:val="18"/>
                <w:szCs w:val="18"/>
              </w:rPr>
              <w:br/>
            </w:r>
            <w:r w:rsidR="001D54E4" w:rsidRPr="00E25099">
              <w:rPr>
                <w:rFonts w:ascii="Arial" w:hAnsi="Arial" w:cs="Arial"/>
                <w:sz w:val="18"/>
                <w:szCs w:val="18"/>
                <w:vertAlign w:val="superscript"/>
              </w:rPr>
              <w:t>d</w:t>
            </w:r>
          </w:p>
        </w:tc>
        <w:tc>
          <w:tcPr>
            <w:tcW w:w="8460" w:type="dxa"/>
            <w:gridSpan w:val="4"/>
            <w:tcBorders>
              <w:top w:val="single" w:sz="4" w:space="0" w:color="auto"/>
            </w:tcBorders>
          </w:tcPr>
          <w:p w:rsidR="006E2D7A" w:rsidRPr="00E25099" w:rsidRDefault="006E2D7A" w:rsidP="006E2D7A">
            <w:pPr>
              <w:jc w:val="left"/>
              <w:rPr>
                <w:rFonts w:ascii="Arial" w:hAnsi="Arial" w:cs="Arial"/>
                <w:sz w:val="18"/>
                <w:szCs w:val="18"/>
              </w:rPr>
            </w:pPr>
            <w:r w:rsidRPr="00E25099">
              <w:rPr>
                <w:rFonts w:ascii="Arial" w:hAnsi="Arial" w:cs="Arial"/>
                <w:sz w:val="18"/>
                <w:szCs w:val="18"/>
              </w:rPr>
              <w:t xml:space="preserve">Except during HFE days (November 5-8, 2018) when it </w:t>
            </w:r>
            <w:r w:rsidR="00EB1040" w:rsidRPr="00E25099">
              <w:rPr>
                <w:rFonts w:ascii="Arial" w:hAnsi="Arial" w:cs="Arial"/>
                <w:sz w:val="18"/>
                <w:szCs w:val="18"/>
              </w:rPr>
              <w:t>was allowed to</w:t>
            </w:r>
            <w:r w:rsidRPr="00E25099">
              <w:rPr>
                <w:rFonts w:ascii="Arial" w:hAnsi="Arial" w:cs="Arial"/>
                <w:sz w:val="18"/>
                <w:szCs w:val="18"/>
              </w:rPr>
              <w:t xml:space="preserve"> reach up to 38,000 cfs</w:t>
            </w:r>
          </w:p>
          <w:p w:rsidR="006E2D7A" w:rsidRPr="00E25099" w:rsidRDefault="006E2D7A" w:rsidP="006E2D7A">
            <w:pPr>
              <w:jc w:val="left"/>
              <w:rPr>
                <w:rFonts w:ascii="Arial" w:hAnsi="Arial" w:cs="Arial"/>
                <w:sz w:val="18"/>
                <w:szCs w:val="18"/>
              </w:rPr>
            </w:pPr>
            <w:r w:rsidRPr="00E25099">
              <w:rPr>
                <w:rFonts w:ascii="Arial" w:hAnsi="Arial" w:cs="Arial"/>
                <w:sz w:val="18"/>
                <w:szCs w:val="18"/>
              </w:rPr>
              <w:t xml:space="preserve">Except during the HFE month (November 2018) when </w:t>
            </w:r>
            <w:r w:rsidR="001D54E4" w:rsidRPr="00E25099">
              <w:rPr>
                <w:rFonts w:ascii="Arial" w:hAnsi="Arial" w:cs="Arial"/>
                <w:sz w:val="18"/>
                <w:szCs w:val="18"/>
              </w:rPr>
              <w:t>it was</w:t>
            </w:r>
            <w:r w:rsidRPr="00E25099">
              <w:rPr>
                <w:rFonts w:ascii="Arial" w:hAnsi="Arial" w:cs="Arial"/>
                <w:sz w:val="18"/>
                <w:szCs w:val="18"/>
              </w:rPr>
              <w:t xml:space="preserve"> </w:t>
            </w:r>
            <w:r w:rsidR="00EB1040" w:rsidRPr="00E25099">
              <w:rPr>
                <w:rFonts w:ascii="Arial" w:hAnsi="Arial" w:cs="Arial"/>
                <w:sz w:val="18"/>
                <w:szCs w:val="18"/>
              </w:rPr>
              <w:t>limited</w:t>
            </w:r>
            <w:r w:rsidRPr="00E25099">
              <w:rPr>
                <w:rFonts w:ascii="Arial" w:hAnsi="Arial" w:cs="Arial"/>
                <w:sz w:val="18"/>
                <w:szCs w:val="18"/>
              </w:rPr>
              <w:t xml:space="preserve"> to 2,500 cfs</w:t>
            </w:r>
          </w:p>
          <w:p w:rsidR="001D54E4" w:rsidRPr="00E25099" w:rsidRDefault="001D54E4" w:rsidP="006E2D7A">
            <w:pPr>
              <w:jc w:val="left"/>
              <w:rPr>
                <w:rFonts w:ascii="Arial" w:hAnsi="Arial" w:cs="Arial"/>
                <w:sz w:val="18"/>
                <w:szCs w:val="18"/>
                <w:vertAlign w:val="superscript"/>
              </w:rPr>
            </w:pPr>
            <w:r w:rsidRPr="00E25099">
              <w:rPr>
                <w:rFonts w:ascii="Arial" w:hAnsi="Arial" w:cs="Arial"/>
                <w:sz w:val="18"/>
                <w:szCs w:val="18"/>
              </w:rPr>
              <w:t xml:space="preserve">Except during the weekdays of the “bug flow” period (May 2019) when it was </w:t>
            </w:r>
            <w:r w:rsidR="00EB1040" w:rsidRPr="00E25099">
              <w:rPr>
                <w:rFonts w:ascii="Arial" w:hAnsi="Arial" w:cs="Arial"/>
                <w:sz w:val="18"/>
                <w:szCs w:val="18"/>
              </w:rPr>
              <w:t>limited</w:t>
            </w:r>
            <w:r w:rsidRPr="00E25099">
              <w:rPr>
                <w:rFonts w:ascii="Arial" w:hAnsi="Arial" w:cs="Arial"/>
                <w:sz w:val="18"/>
                <w:szCs w:val="18"/>
              </w:rPr>
              <w:t xml:space="preserve"> to 4,500 cfs</w:t>
            </w:r>
          </w:p>
          <w:p w:rsidR="006E2D7A" w:rsidRPr="00E25099" w:rsidRDefault="006E2D7A" w:rsidP="006E2D7A">
            <w:pPr>
              <w:jc w:val="left"/>
              <w:rPr>
                <w:rFonts w:ascii="Arial" w:hAnsi="Arial" w:cs="Arial"/>
                <w:i/>
                <w:sz w:val="18"/>
                <w:szCs w:val="18"/>
              </w:rPr>
            </w:pPr>
            <w:r w:rsidRPr="00E25099">
              <w:rPr>
                <w:rFonts w:ascii="Arial" w:hAnsi="Arial" w:cs="Arial"/>
                <w:sz w:val="18"/>
                <w:szCs w:val="18"/>
              </w:rPr>
              <w:t>Except during the Saturdays, Sundays, and Holidays of the “bug flow</w:t>
            </w:r>
            <w:r w:rsidR="001D54E4" w:rsidRPr="00E25099">
              <w:rPr>
                <w:rFonts w:ascii="Arial" w:hAnsi="Arial" w:cs="Arial"/>
                <w:sz w:val="18"/>
                <w:szCs w:val="18"/>
              </w:rPr>
              <w:t>”</w:t>
            </w:r>
            <w:r w:rsidRPr="00E25099">
              <w:rPr>
                <w:rFonts w:ascii="Arial" w:hAnsi="Arial" w:cs="Arial"/>
                <w:sz w:val="18"/>
                <w:szCs w:val="18"/>
              </w:rPr>
              <w:t xml:space="preserve"> period (May 2019) when i</w:t>
            </w:r>
            <w:r w:rsidR="00EB1040" w:rsidRPr="00E25099">
              <w:rPr>
                <w:rFonts w:ascii="Arial" w:hAnsi="Arial" w:cs="Arial"/>
                <w:sz w:val="18"/>
                <w:szCs w:val="18"/>
              </w:rPr>
              <w:t>t was</w:t>
            </w:r>
            <w:r w:rsidRPr="00E25099">
              <w:rPr>
                <w:rFonts w:ascii="Arial" w:hAnsi="Arial" w:cs="Arial"/>
                <w:sz w:val="18"/>
                <w:szCs w:val="18"/>
              </w:rPr>
              <w:t xml:space="preserve"> fixed to 0 cfs/hr</w:t>
            </w:r>
            <w:r w:rsidR="00EB1040" w:rsidRPr="00E25099">
              <w:rPr>
                <w:rFonts w:ascii="Arial" w:hAnsi="Arial" w:cs="Arial"/>
                <w:sz w:val="18"/>
                <w:szCs w:val="18"/>
              </w:rPr>
              <w:t xml:space="preserve"> (flat flows)</w:t>
            </w:r>
            <w:r w:rsidRPr="00E25099">
              <w:rPr>
                <w:rFonts w:ascii="Arial" w:hAnsi="Arial" w:cs="Arial"/>
                <w:sz w:val="18"/>
                <w:szCs w:val="18"/>
              </w:rPr>
              <w:t xml:space="preserve"> </w:t>
            </w:r>
          </w:p>
        </w:tc>
      </w:tr>
    </w:tbl>
    <w:p w:rsidR="00227EFE" w:rsidRPr="00B80AA8" w:rsidRDefault="00227EFE" w:rsidP="00BA52C6"/>
    <w:p w:rsidR="009F1C34" w:rsidRDefault="009F1C34" w:rsidP="009F1C34">
      <w:pPr>
        <w:pStyle w:val="Heading2"/>
        <w:jc w:val="left"/>
        <w:rPr>
          <w:sz w:val="24"/>
          <w:szCs w:val="24"/>
        </w:rPr>
      </w:pPr>
      <w:bookmarkStart w:id="17" w:name="_Ref17466766"/>
      <w:bookmarkStart w:id="18" w:name="_Toc19196961"/>
      <w:r>
        <w:rPr>
          <w:sz w:val="24"/>
          <w:szCs w:val="24"/>
        </w:rPr>
        <w:t>Monthly Water Release Volumes</w:t>
      </w:r>
      <w:bookmarkEnd w:id="17"/>
      <w:bookmarkEnd w:id="18"/>
    </w:p>
    <w:p w:rsidR="00EE6FB9" w:rsidRDefault="00EE6FB9" w:rsidP="00EE6FB9"/>
    <w:p w:rsidR="007F3F08" w:rsidRDefault="007F3F08" w:rsidP="007F3F08">
      <w:r>
        <w:t xml:space="preserve">Reclamation sets the monthly water releases in the Upper and Lower Colorado River Basin to be consistent with various operating rules and guidelines, acts, international water treaties, consumption use requirements, state agreements, and the “Law of the </w:t>
      </w:r>
      <w:r w:rsidRPr="00805191">
        <w:t>River” (Reclamation 2008). In addition to power production, monthly release volumes are set considering other uses of the reservoirs, such as flood control, river regulation, consumptive uses, water quality control, recreation, and fish and wildlife enhancement, and to address other environmental factors (Reclamation 2013). Moreover</w:t>
      </w:r>
      <w:r>
        <w:t xml:space="preserve">, since January 2017, monthly water releases at GCD are complying with the LTEMP ROD operating </w:t>
      </w:r>
      <w:r w:rsidRPr="00805191">
        <w:t>criteria (Reclamation 2016).</w:t>
      </w:r>
    </w:p>
    <w:p w:rsidR="007F3F08" w:rsidRDefault="007F3F08" w:rsidP="007F3F08"/>
    <w:p w:rsidR="007F3F08" w:rsidRDefault="007F3F08" w:rsidP="007F3F08">
      <w:r>
        <w:t>Release decisions are made by using current runoff projections provided by the National Weather Service Colorado Basin River Forecast Center. Because future hydrologic conditions in the Colorado River Basin are not known with certainty and because events do not unfold as previously projected, Reclamation periodically adjusts its annual operating plan. Its release decisions are adjusted on a monthly basis to reflect projections made by rolling 24-month studies, which are updated monthly.</w:t>
      </w:r>
    </w:p>
    <w:p w:rsidR="007F3F08" w:rsidRDefault="007F3F08" w:rsidP="007F3F08"/>
    <w:p w:rsidR="007F3F08" w:rsidRDefault="007F3F08" w:rsidP="007F3F08">
      <w:r>
        <w:t xml:space="preserve">For the Factual and </w:t>
      </w:r>
      <w:r w:rsidRPr="00FD65A2">
        <w:t>Counterfactual cases, actual SLCA/IP monthly water releases, as recorded in Reclamation’s Form PO&amp;M-59 (Reclamation undated) and available on the Reclamation website for WY 201</w:t>
      </w:r>
      <w:r w:rsidR="00E677E9" w:rsidRPr="00FD65A2">
        <w:t>9</w:t>
      </w:r>
      <w:r w:rsidRPr="00FD65A2">
        <w:t xml:space="preserve"> (Reclamation 2019</w:t>
      </w:r>
      <w:r w:rsidRPr="005F3C98">
        <w:t xml:space="preserve">), </w:t>
      </w:r>
      <w:r w:rsidRPr="00E25099">
        <w:t>were used for all hydropower plants except for GCD</w:t>
      </w:r>
      <w:r w:rsidRPr="005F3C98">
        <w:t>. Reclamation provided the GCD monthly water release input data for both cases and the hourly</w:t>
      </w:r>
      <w:r>
        <w:t xml:space="preserve"> water rel</w:t>
      </w:r>
      <w:r w:rsidR="000C15D1">
        <w:t>eases during the HFE (Patno 2019</w:t>
      </w:r>
      <w:r>
        <w:t xml:space="preserve">). </w:t>
      </w:r>
    </w:p>
    <w:p w:rsidR="007F3F08" w:rsidRDefault="007F3F08" w:rsidP="007F3F08"/>
    <w:p w:rsidR="009F1C34" w:rsidRDefault="007F3F08" w:rsidP="007F3F08">
      <w:r>
        <w:t xml:space="preserve">Table 2.2 shows the monthly water release volumes </w:t>
      </w:r>
      <w:r w:rsidR="00621B09" w:rsidRPr="00C173A3">
        <w:t xml:space="preserve">and </w:t>
      </w:r>
      <w:r w:rsidR="00621B09">
        <w:t>the end-of-month</w:t>
      </w:r>
      <w:r w:rsidR="00621B09" w:rsidRPr="00C173A3">
        <w:t xml:space="preserve"> elevations </w:t>
      </w:r>
      <w:r>
        <w:t xml:space="preserve">of the Lake Powell reservoir for each </w:t>
      </w:r>
      <w:r w:rsidR="00274CCF">
        <w:t>case</w:t>
      </w:r>
      <w:r>
        <w:t xml:space="preserve"> during the study period. </w:t>
      </w:r>
      <w:r w:rsidRPr="00E25099">
        <w:t>The HFE conducted in November 201</w:t>
      </w:r>
      <w:r w:rsidR="00274CCF" w:rsidRPr="00E25099">
        <w:t>8</w:t>
      </w:r>
      <w:r w:rsidRPr="00E25099">
        <w:t xml:space="preserve"> required water to be reallocated </w:t>
      </w:r>
      <w:r w:rsidR="00274CCF" w:rsidRPr="00E25099">
        <w:t xml:space="preserve">from two months </w:t>
      </w:r>
      <w:r w:rsidRPr="00E25099">
        <w:t xml:space="preserve">among </w:t>
      </w:r>
      <w:r w:rsidR="00274CCF" w:rsidRPr="00E25099">
        <w:t>March, April, and May 2019</w:t>
      </w:r>
      <w:r w:rsidRPr="00E25099">
        <w:t>.</w:t>
      </w:r>
      <w:r w:rsidR="00274CCF" w:rsidRPr="00E25099">
        <w:t xml:space="preserve"> A priori, there was n</w:t>
      </w:r>
      <w:r w:rsidR="001739E1" w:rsidRPr="00E25099">
        <w:t xml:space="preserve">o preference regarding </w:t>
      </w:r>
      <w:r w:rsidR="001B56B6">
        <w:t xml:space="preserve">water </w:t>
      </w:r>
      <w:r w:rsidR="001739E1" w:rsidRPr="00E25099">
        <w:t>reallocation</w:t>
      </w:r>
      <w:r w:rsidR="001B56B6">
        <w:t>s.</w:t>
      </w:r>
      <w:r w:rsidR="00274CCF" w:rsidRPr="00E25099">
        <w:t xml:space="preserve"> </w:t>
      </w:r>
      <w:r w:rsidR="001B56B6">
        <w:t>T</w:t>
      </w:r>
      <w:r w:rsidR="00274CCF" w:rsidRPr="00E25099">
        <w:t>herefore</w:t>
      </w:r>
      <w:r w:rsidR="001B56B6">
        <w:t xml:space="preserve">, in this study, three </w:t>
      </w:r>
      <w:r w:rsidR="005F3C98">
        <w:t xml:space="preserve">likely </w:t>
      </w:r>
      <w:r w:rsidR="00274CCF" w:rsidRPr="00E25099">
        <w:t xml:space="preserve">reallocations </w:t>
      </w:r>
      <w:r w:rsidR="005F3C98">
        <w:t xml:space="preserve">assumptions </w:t>
      </w:r>
      <w:r w:rsidR="001B56B6">
        <w:t>were modeled. Each</w:t>
      </w:r>
      <w:r w:rsidR="005F3C98">
        <w:t xml:space="preserve"> </w:t>
      </w:r>
      <w:r w:rsidR="001B56B6">
        <w:t>reallocated equal amounts of HFE water from two months as follows</w:t>
      </w:r>
      <w:r w:rsidR="00274CCF" w:rsidRPr="00E25099">
        <w:t>: March and April (Counterfactual case 1), March and May (Counterfactual case 2), and April and May (Counterfactual case 3). The</w:t>
      </w:r>
      <w:r w:rsidRPr="00E25099">
        <w:t>s</w:t>
      </w:r>
      <w:r w:rsidR="00274CCF" w:rsidRPr="00E25099">
        <w:t>e</w:t>
      </w:r>
      <w:r w:rsidR="001739E1" w:rsidRPr="00E25099">
        <w:t xml:space="preserve"> water</w:t>
      </w:r>
      <w:r w:rsidRPr="00E25099">
        <w:t xml:space="preserve"> reallocation</w:t>
      </w:r>
      <w:r w:rsidR="00274CCF" w:rsidRPr="00E25099">
        <w:t>s</w:t>
      </w:r>
      <w:r w:rsidRPr="00E25099">
        <w:t xml:space="preserve"> </w:t>
      </w:r>
      <w:r w:rsidR="00274CCF" w:rsidRPr="00E25099">
        <w:t>are</w:t>
      </w:r>
      <w:r w:rsidRPr="00E25099">
        <w:t xml:space="preserve"> </w:t>
      </w:r>
      <w:r w:rsidR="001739E1" w:rsidRPr="00E25099">
        <w:t>highlighted in bold in Table 2.2 for</w:t>
      </w:r>
      <w:r w:rsidRPr="00E25099">
        <w:t xml:space="preserve"> the </w:t>
      </w:r>
      <w:r w:rsidR="00274CCF" w:rsidRPr="00E25099">
        <w:t>Factual case</w:t>
      </w:r>
      <w:r w:rsidRPr="00E25099">
        <w:t xml:space="preserve"> and </w:t>
      </w:r>
      <w:r w:rsidR="00274CCF" w:rsidRPr="00E25099">
        <w:t>the three Counterfactual cases</w:t>
      </w:r>
      <w:r w:rsidRPr="00E25099">
        <w:t>.</w:t>
      </w:r>
      <w:r w:rsidR="00274CCF">
        <w:t xml:space="preserve"> </w:t>
      </w:r>
      <w:r w:rsidR="001B56B6">
        <w:t xml:space="preserve">Reclamation estimated </w:t>
      </w:r>
      <w:r w:rsidR="00274CCF">
        <w:t xml:space="preserve">that the HFE </w:t>
      </w:r>
      <w:r w:rsidR="001B56B6">
        <w:t xml:space="preserve">required </w:t>
      </w:r>
      <w:r w:rsidR="00274CCF">
        <w:t xml:space="preserve">an additional 37 TAF of water released in November 2018. In the Counterfactual cases, this excess of water release was reallocated </w:t>
      </w:r>
      <w:r w:rsidR="00BA0A38">
        <w:t>in equal quantity among the two months of reallocation, that is, 18.5 TAF in each month.</w:t>
      </w:r>
      <w:r w:rsidR="00274CCF">
        <w:t xml:space="preserve"> </w:t>
      </w:r>
    </w:p>
    <w:p w:rsidR="007F3F08" w:rsidRDefault="007F3F08" w:rsidP="007F3F08"/>
    <w:p w:rsidR="00621B09" w:rsidRDefault="00621B09" w:rsidP="00621B09">
      <w:pPr>
        <w:pStyle w:val="Caption"/>
        <w:keepNext/>
        <w:jc w:val="center"/>
      </w:pPr>
      <w:bookmarkStart w:id="19" w:name="_Toc19196920"/>
      <w:r>
        <w:t xml:space="preserve">Table </w:t>
      </w:r>
      <w:r w:rsidR="00CE27EE">
        <w:rPr>
          <w:noProof/>
        </w:rPr>
        <w:fldChar w:fldCharType="begin"/>
      </w:r>
      <w:r w:rsidR="00CE27EE">
        <w:rPr>
          <w:noProof/>
        </w:rPr>
        <w:instrText xml:space="preserve"> STYLEREF 1 \s </w:instrText>
      </w:r>
      <w:r w:rsidR="00CE27EE">
        <w:rPr>
          <w:noProof/>
        </w:rPr>
        <w:fldChar w:fldCharType="separate"/>
      </w:r>
      <w:r w:rsidR="00C44BB9">
        <w:rPr>
          <w:noProof/>
        </w:rPr>
        <w:t>2</w:t>
      </w:r>
      <w:r w:rsidR="00CE27EE">
        <w:rPr>
          <w:noProof/>
        </w:rPr>
        <w:fldChar w:fldCharType="end"/>
      </w:r>
      <w:r w:rsidR="00C44BB9">
        <w:noBreakHyphen/>
      </w:r>
      <w:r w:rsidR="00CE27EE">
        <w:rPr>
          <w:noProof/>
        </w:rPr>
        <w:fldChar w:fldCharType="begin"/>
      </w:r>
      <w:r w:rsidR="00CE27EE">
        <w:rPr>
          <w:noProof/>
        </w:rPr>
        <w:instrText xml:space="preserve"> SEQ Table \* ARABIC \s 1 </w:instrText>
      </w:r>
      <w:r w:rsidR="00CE27EE">
        <w:rPr>
          <w:noProof/>
        </w:rPr>
        <w:fldChar w:fldCharType="separate"/>
      </w:r>
      <w:r w:rsidR="00C44BB9">
        <w:rPr>
          <w:noProof/>
        </w:rPr>
        <w:t>2</w:t>
      </w:r>
      <w:r w:rsidR="00CE27EE">
        <w:rPr>
          <w:noProof/>
        </w:rPr>
        <w:fldChar w:fldCharType="end"/>
      </w:r>
      <w:r>
        <w:t xml:space="preserve"> </w:t>
      </w:r>
      <w:r w:rsidRPr="00621B09">
        <w:t xml:space="preserve">Monthly water releases and Lake Powell elevations </w:t>
      </w:r>
      <w:r>
        <w:br/>
      </w:r>
      <w:r w:rsidRPr="00621B09">
        <w:t xml:space="preserve">for both </w:t>
      </w:r>
      <w:r w:rsidR="00EB1040">
        <w:t>type</w:t>
      </w:r>
      <w:r>
        <w:t>s of cases in WY 2019</w:t>
      </w:r>
      <w:bookmarkEnd w:id="19"/>
    </w:p>
    <w:tbl>
      <w:tblPr>
        <w:tblW w:w="9620" w:type="dxa"/>
        <w:tblLayout w:type="fixed"/>
        <w:tblCellMar>
          <w:left w:w="86" w:type="dxa"/>
          <w:right w:w="86" w:type="dxa"/>
        </w:tblCellMar>
        <w:tblLook w:val="04A0" w:firstRow="1" w:lastRow="0" w:firstColumn="1" w:lastColumn="0" w:noHBand="0" w:noVBand="1"/>
      </w:tblPr>
      <w:tblGrid>
        <w:gridCol w:w="904"/>
        <w:gridCol w:w="720"/>
        <w:gridCol w:w="900"/>
        <w:gridCol w:w="990"/>
        <w:gridCol w:w="1017"/>
        <w:gridCol w:w="1018"/>
        <w:gridCol w:w="1018"/>
        <w:gridCol w:w="1017"/>
        <w:gridCol w:w="1018"/>
        <w:gridCol w:w="1018"/>
      </w:tblGrid>
      <w:tr w:rsidR="00621B09" w:rsidRPr="009735BC" w:rsidTr="00227EFE">
        <w:trPr>
          <w:trHeight w:val="409"/>
        </w:trPr>
        <w:tc>
          <w:tcPr>
            <w:tcW w:w="904" w:type="dxa"/>
            <w:tcBorders>
              <w:bottom w:val="single" w:sz="4" w:space="0" w:color="auto"/>
            </w:tcBorders>
            <w:shd w:val="clear" w:color="000000" w:fill="FFFFFF"/>
            <w:vAlign w:val="bottom"/>
          </w:tcPr>
          <w:p w:rsidR="00621B09" w:rsidRPr="00621B09" w:rsidRDefault="00621B09" w:rsidP="009E5AB2">
            <w:pPr>
              <w:jc w:val="center"/>
              <w:rPr>
                <w:rFonts w:ascii="Arial" w:hAnsi="Arial" w:cs="Arial"/>
                <w:sz w:val="18"/>
                <w:szCs w:val="18"/>
              </w:rPr>
            </w:pPr>
          </w:p>
        </w:tc>
        <w:tc>
          <w:tcPr>
            <w:tcW w:w="720" w:type="dxa"/>
            <w:tcBorders>
              <w:bottom w:val="single" w:sz="4" w:space="0" w:color="auto"/>
              <w:right w:val="nil"/>
            </w:tcBorders>
            <w:shd w:val="clear" w:color="000000" w:fill="FFFFFF"/>
            <w:vAlign w:val="bottom"/>
          </w:tcPr>
          <w:p w:rsidR="00621B09" w:rsidRPr="00621B09" w:rsidRDefault="00621B09" w:rsidP="009E5AB2">
            <w:pPr>
              <w:jc w:val="center"/>
              <w:rPr>
                <w:rFonts w:ascii="Arial" w:hAnsi="Arial" w:cs="Arial"/>
                <w:sz w:val="18"/>
                <w:szCs w:val="18"/>
              </w:rPr>
            </w:pPr>
          </w:p>
        </w:tc>
        <w:tc>
          <w:tcPr>
            <w:tcW w:w="189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21B09" w:rsidRPr="00621B09" w:rsidRDefault="00621B09" w:rsidP="009E5AB2">
            <w:pPr>
              <w:jc w:val="center"/>
              <w:rPr>
                <w:rFonts w:ascii="Arial" w:hAnsi="Arial" w:cs="Arial"/>
                <w:bCs/>
                <w:color w:val="000000"/>
                <w:sz w:val="18"/>
                <w:szCs w:val="18"/>
              </w:rPr>
            </w:pPr>
            <w:r w:rsidRPr="00621B09">
              <w:rPr>
                <w:rFonts w:ascii="Arial" w:hAnsi="Arial" w:cs="Arial"/>
                <w:bCs/>
                <w:color w:val="000000"/>
                <w:sz w:val="18"/>
                <w:szCs w:val="18"/>
              </w:rPr>
              <w:t xml:space="preserve">Factual Case </w:t>
            </w:r>
            <w:r>
              <w:rPr>
                <w:rFonts w:ascii="Arial" w:hAnsi="Arial" w:cs="Arial"/>
                <w:bCs/>
                <w:color w:val="000000"/>
                <w:sz w:val="18"/>
                <w:szCs w:val="18"/>
              </w:rPr>
              <w:br/>
            </w:r>
            <w:r w:rsidRPr="00621B09">
              <w:rPr>
                <w:rFonts w:ascii="Arial" w:hAnsi="Arial" w:cs="Arial"/>
                <w:bCs/>
                <w:color w:val="000000"/>
                <w:sz w:val="18"/>
                <w:szCs w:val="18"/>
              </w:rPr>
              <w:t>(with HFE)</w:t>
            </w:r>
          </w:p>
        </w:tc>
        <w:tc>
          <w:tcPr>
            <w:tcW w:w="203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1B09" w:rsidRPr="00621B09" w:rsidRDefault="00621B09" w:rsidP="009E5AB2">
            <w:pPr>
              <w:jc w:val="center"/>
              <w:rPr>
                <w:rFonts w:ascii="Arial" w:hAnsi="Arial" w:cs="Arial"/>
                <w:bCs/>
                <w:color w:val="000000"/>
                <w:sz w:val="18"/>
                <w:szCs w:val="18"/>
              </w:rPr>
            </w:pPr>
            <w:r w:rsidRPr="00621B09">
              <w:rPr>
                <w:rFonts w:ascii="Arial" w:hAnsi="Arial" w:cs="Arial"/>
                <w:bCs/>
                <w:color w:val="000000"/>
                <w:sz w:val="18"/>
                <w:szCs w:val="18"/>
              </w:rPr>
              <w:t>Counterfactual Case 1 (reallocation of HFE release in March and April)</w:t>
            </w:r>
          </w:p>
        </w:tc>
        <w:tc>
          <w:tcPr>
            <w:tcW w:w="203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1B09" w:rsidRPr="00621B09" w:rsidRDefault="00621B09" w:rsidP="009E5AB2">
            <w:pPr>
              <w:jc w:val="center"/>
              <w:rPr>
                <w:rFonts w:ascii="Arial" w:hAnsi="Arial" w:cs="Arial"/>
                <w:bCs/>
                <w:color w:val="000000"/>
                <w:sz w:val="18"/>
                <w:szCs w:val="18"/>
              </w:rPr>
            </w:pPr>
            <w:r w:rsidRPr="00621B09">
              <w:rPr>
                <w:rFonts w:ascii="Arial" w:hAnsi="Arial" w:cs="Arial"/>
                <w:bCs/>
                <w:color w:val="000000"/>
                <w:sz w:val="18"/>
                <w:szCs w:val="18"/>
              </w:rPr>
              <w:t>Counterfactual Case 2 (reallocation of HFE release in March and May)</w:t>
            </w:r>
          </w:p>
        </w:tc>
        <w:tc>
          <w:tcPr>
            <w:tcW w:w="2036" w:type="dxa"/>
            <w:gridSpan w:val="2"/>
            <w:tcBorders>
              <w:top w:val="single" w:sz="4" w:space="0" w:color="auto"/>
              <w:left w:val="single" w:sz="4" w:space="0" w:color="auto"/>
              <w:bottom w:val="single" w:sz="4" w:space="0" w:color="auto"/>
            </w:tcBorders>
            <w:shd w:val="clear" w:color="000000" w:fill="FFFFFF"/>
            <w:noWrap/>
            <w:vAlign w:val="bottom"/>
            <w:hideMark/>
          </w:tcPr>
          <w:p w:rsidR="00621B09" w:rsidRPr="00621B09" w:rsidRDefault="00621B09" w:rsidP="009E5AB2">
            <w:pPr>
              <w:jc w:val="center"/>
              <w:rPr>
                <w:rFonts w:ascii="Arial" w:hAnsi="Arial" w:cs="Arial"/>
                <w:bCs/>
                <w:color w:val="000000"/>
                <w:sz w:val="18"/>
                <w:szCs w:val="18"/>
              </w:rPr>
            </w:pPr>
            <w:r w:rsidRPr="00621B09">
              <w:rPr>
                <w:rFonts w:ascii="Arial" w:hAnsi="Arial" w:cs="Arial"/>
                <w:bCs/>
                <w:color w:val="000000"/>
                <w:sz w:val="18"/>
                <w:szCs w:val="18"/>
              </w:rPr>
              <w:t>Counterfactual Case 3 (reallocation of HFE release in April and May)</w:t>
            </w:r>
          </w:p>
        </w:tc>
      </w:tr>
      <w:tr w:rsidR="00621B09" w:rsidTr="00227EFE">
        <w:trPr>
          <w:trHeight w:val="366"/>
        </w:trPr>
        <w:tc>
          <w:tcPr>
            <w:tcW w:w="904" w:type="dxa"/>
            <w:tcBorders>
              <w:bottom w:val="single" w:sz="4" w:space="0" w:color="auto"/>
            </w:tcBorders>
            <w:shd w:val="clear" w:color="000000" w:fill="FFFFFF"/>
            <w:vAlign w:val="bottom"/>
          </w:tcPr>
          <w:p w:rsidR="00621B09" w:rsidRPr="00621B09" w:rsidRDefault="00621B09" w:rsidP="00621B09">
            <w:pPr>
              <w:jc w:val="center"/>
              <w:rPr>
                <w:rFonts w:ascii="Arial" w:hAnsi="Arial" w:cs="Arial"/>
                <w:bCs/>
                <w:sz w:val="18"/>
                <w:szCs w:val="18"/>
              </w:rPr>
            </w:pPr>
            <w:r w:rsidRPr="00621B09">
              <w:rPr>
                <w:rFonts w:ascii="Arial" w:hAnsi="Arial" w:cs="Arial"/>
                <w:sz w:val="18"/>
                <w:szCs w:val="18"/>
              </w:rPr>
              <w:t>Calendar Year</w:t>
            </w:r>
          </w:p>
        </w:tc>
        <w:tc>
          <w:tcPr>
            <w:tcW w:w="720" w:type="dxa"/>
            <w:tcBorders>
              <w:top w:val="single" w:sz="4" w:space="0" w:color="auto"/>
              <w:left w:val="nil"/>
              <w:bottom w:val="single" w:sz="4" w:space="0" w:color="auto"/>
              <w:right w:val="nil"/>
            </w:tcBorders>
            <w:shd w:val="clear" w:color="000000" w:fill="FFFFFF"/>
            <w:noWrap/>
            <w:vAlign w:val="bottom"/>
          </w:tcPr>
          <w:p w:rsidR="00621B09" w:rsidRPr="00621B09" w:rsidRDefault="00621B09" w:rsidP="00621B09">
            <w:pPr>
              <w:jc w:val="center"/>
              <w:rPr>
                <w:rFonts w:ascii="Arial" w:hAnsi="Arial" w:cs="Arial"/>
                <w:sz w:val="18"/>
                <w:szCs w:val="18"/>
              </w:rPr>
            </w:pPr>
            <w:r w:rsidRPr="00621B09">
              <w:rPr>
                <w:rFonts w:ascii="Arial" w:hAnsi="Arial" w:cs="Arial"/>
                <w:sz w:val="18"/>
                <w:szCs w:val="18"/>
              </w:rPr>
              <w:t>Month</w:t>
            </w:r>
          </w:p>
        </w:tc>
        <w:tc>
          <w:tcPr>
            <w:tcW w:w="900" w:type="dxa"/>
            <w:tcBorders>
              <w:top w:val="single" w:sz="4" w:space="0" w:color="auto"/>
              <w:bottom w:val="single" w:sz="4" w:space="0" w:color="auto"/>
            </w:tcBorders>
            <w:shd w:val="clear" w:color="auto" w:fill="auto"/>
            <w:noWrap/>
            <w:vAlign w:val="bottom"/>
          </w:tcPr>
          <w:p w:rsidR="00621B09" w:rsidRPr="00621B09" w:rsidRDefault="00621B09" w:rsidP="00621B09">
            <w:pPr>
              <w:jc w:val="center"/>
              <w:rPr>
                <w:rFonts w:ascii="Arial" w:hAnsi="Arial" w:cs="Arial"/>
                <w:sz w:val="18"/>
                <w:szCs w:val="18"/>
              </w:rPr>
            </w:pPr>
            <w:r>
              <w:rPr>
                <w:rFonts w:ascii="Arial" w:hAnsi="Arial" w:cs="Arial"/>
                <w:sz w:val="18"/>
                <w:szCs w:val="18"/>
              </w:rPr>
              <w:t>Water Release</w:t>
            </w:r>
            <w:r w:rsidRPr="00621B09">
              <w:rPr>
                <w:rFonts w:ascii="Arial" w:hAnsi="Arial" w:cs="Arial"/>
                <w:sz w:val="18"/>
                <w:szCs w:val="18"/>
              </w:rPr>
              <w:t xml:space="preserve"> (TAF)</w:t>
            </w:r>
          </w:p>
        </w:tc>
        <w:tc>
          <w:tcPr>
            <w:tcW w:w="990" w:type="dxa"/>
            <w:tcBorders>
              <w:top w:val="single" w:sz="4" w:space="0" w:color="auto"/>
              <w:bottom w:val="single" w:sz="4" w:space="0" w:color="auto"/>
              <w:right w:val="single" w:sz="4" w:space="0" w:color="auto"/>
            </w:tcBorders>
            <w:vAlign w:val="bottom"/>
          </w:tcPr>
          <w:p w:rsidR="00621B09" w:rsidRPr="00621B09" w:rsidRDefault="00621B09" w:rsidP="00621B09">
            <w:pPr>
              <w:jc w:val="center"/>
              <w:rPr>
                <w:rFonts w:ascii="Arial" w:hAnsi="Arial" w:cs="Arial"/>
                <w:sz w:val="18"/>
                <w:szCs w:val="18"/>
              </w:rPr>
            </w:pPr>
            <w:r w:rsidRPr="00621B09">
              <w:rPr>
                <w:rFonts w:ascii="Arial" w:hAnsi="Arial" w:cs="Arial"/>
                <w:bCs/>
                <w:color w:val="000000"/>
                <w:sz w:val="18"/>
                <w:szCs w:val="18"/>
              </w:rPr>
              <w:t>Lake Powell Elevation</w:t>
            </w:r>
            <w:r w:rsidRPr="00621B09">
              <w:rPr>
                <w:rFonts w:ascii="Arial" w:hAnsi="Arial" w:cs="Arial"/>
                <w:bCs/>
                <w:color w:val="000000"/>
                <w:sz w:val="18"/>
                <w:szCs w:val="18"/>
              </w:rPr>
              <w:br/>
              <w:t>(ft)</w:t>
            </w:r>
          </w:p>
        </w:tc>
        <w:tc>
          <w:tcPr>
            <w:tcW w:w="1017" w:type="dxa"/>
            <w:tcBorders>
              <w:top w:val="single" w:sz="4" w:space="0" w:color="auto"/>
              <w:left w:val="single" w:sz="4" w:space="0" w:color="auto"/>
              <w:bottom w:val="single" w:sz="4" w:space="0" w:color="auto"/>
            </w:tcBorders>
            <w:shd w:val="clear" w:color="auto" w:fill="auto"/>
            <w:noWrap/>
            <w:vAlign w:val="bottom"/>
          </w:tcPr>
          <w:p w:rsidR="00621B09" w:rsidRPr="00621B09" w:rsidRDefault="00621B09" w:rsidP="00621B09">
            <w:pPr>
              <w:jc w:val="center"/>
              <w:rPr>
                <w:rFonts w:ascii="Arial" w:hAnsi="Arial" w:cs="Arial"/>
                <w:sz w:val="18"/>
                <w:szCs w:val="18"/>
              </w:rPr>
            </w:pPr>
            <w:r>
              <w:rPr>
                <w:rFonts w:ascii="Arial" w:hAnsi="Arial" w:cs="Arial"/>
                <w:sz w:val="18"/>
                <w:szCs w:val="18"/>
              </w:rPr>
              <w:t>Water Release</w:t>
            </w:r>
            <w:r w:rsidRPr="00621B09">
              <w:rPr>
                <w:rFonts w:ascii="Arial" w:hAnsi="Arial" w:cs="Arial"/>
                <w:sz w:val="18"/>
                <w:szCs w:val="18"/>
              </w:rPr>
              <w:t xml:space="preserve"> (TAF)</w:t>
            </w:r>
          </w:p>
        </w:tc>
        <w:tc>
          <w:tcPr>
            <w:tcW w:w="1018" w:type="dxa"/>
            <w:tcBorders>
              <w:top w:val="single" w:sz="4" w:space="0" w:color="auto"/>
              <w:bottom w:val="single" w:sz="4" w:space="0" w:color="auto"/>
              <w:right w:val="single" w:sz="4" w:space="0" w:color="auto"/>
            </w:tcBorders>
            <w:vAlign w:val="bottom"/>
          </w:tcPr>
          <w:p w:rsidR="00621B09" w:rsidRPr="00621B09" w:rsidRDefault="00621B09" w:rsidP="00621B09">
            <w:pPr>
              <w:jc w:val="center"/>
              <w:rPr>
                <w:rFonts w:ascii="Arial" w:hAnsi="Arial" w:cs="Arial"/>
                <w:sz w:val="18"/>
                <w:szCs w:val="18"/>
              </w:rPr>
            </w:pPr>
            <w:r w:rsidRPr="00621B09">
              <w:rPr>
                <w:rFonts w:ascii="Arial" w:hAnsi="Arial" w:cs="Arial"/>
                <w:bCs/>
                <w:color w:val="000000"/>
                <w:sz w:val="18"/>
                <w:szCs w:val="18"/>
              </w:rPr>
              <w:t>Lake Powell Elevation</w:t>
            </w:r>
            <w:r w:rsidRPr="00621B09">
              <w:rPr>
                <w:rFonts w:ascii="Arial" w:hAnsi="Arial" w:cs="Arial"/>
                <w:bCs/>
                <w:color w:val="000000"/>
                <w:sz w:val="18"/>
                <w:szCs w:val="18"/>
              </w:rPr>
              <w:br/>
              <w:t>(ft)</w:t>
            </w:r>
          </w:p>
        </w:tc>
        <w:tc>
          <w:tcPr>
            <w:tcW w:w="1018" w:type="dxa"/>
            <w:tcBorders>
              <w:top w:val="single" w:sz="4" w:space="0" w:color="auto"/>
              <w:left w:val="single" w:sz="4" w:space="0" w:color="auto"/>
              <w:bottom w:val="single" w:sz="4" w:space="0" w:color="auto"/>
            </w:tcBorders>
            <w:shd w:val="clear" w:color="auto" w:fill="auto"/>
            <w:noWrap/>
            <w:vAlign w:val="bottom"/>
          </w:tcPr>
          <w:p w:rsidR="00621B09" w:rsidRPr="00621B09" w:rsidRDefault="00621B09" w:rsidP="00621B09">
            <w:pPr>
              <w:jc w:val="center"/>
              <w:rPr>
                <w:rFonts w:ascii="Arial" w:hAnsi="Arial" w:cs="Arial"/>
                <w:sz w:val="18"/>
                <w:szCs w:val="18"/>
              </w:rPr>
            </w:pPr>
            <w:r>
              <w:rPr>
                <w:rFonts w:ascii="Arial" w:hAnsi="Arial" w:cs="Arial"/>
                <w:sz w:val="18"/>
                <w:szCs w:val="18"/>
              </w:rPr>
              <w:t>Water Release</w:t>
            </w:r>
            <w:r w:rsidRPr="00621B09">
              <w:rPr>
                <w:rFonts w:ascii="Arial" w:hAnsi="Arial" w:cs="Arial"/>
                <w:sz w:val="18"/>
                <w:szCs w:val="18"/>
              </w:rPr>
              <w:t xml:space="preserve"> (TAF)</w:t>
            </w:r>
          </w:p>
        </w:tc>
        <w:tc>
          <w:tcPr>
            <w:tcW w:w="1017" w:type="dxa"/>
            <w:tcBorders>
              <w:bottom w:val="single" w:sz="4" w:space="0" w:color="auto"/>
              <w:right w:val="single" w:sz="4" w:space="0" w:color="auto"/>
            </w:tcBorders>
            <w:vAlign w:val="bottom"/>
          </w:tcPr>
          <w:p w:rsidR="00621B09" w:rsidRPr="00621B09" w:rsidRDefault="00621B09" w:rsidP="00621B09">
            <w:pPr>
              <w:jc w:val="center"/>
              <w:rPr>
                <w:rFonts w:ascii="Arial" w:hAnsi="Arial" w:cs="Arial"/>
                <w:sz w:val="18"/>
                <w:szCs w:val="18"/>
              </w:rPr>
            </w:pPr>
            <w:r w:rsidRPr="00621B09">
              <w:rPr>
                <w:rFonts w:ascii="Arial" w:hAnsi="Arial" w:cs="Arial"/>
                <w:bCs/>
                <w:color w:val="000000"/>
                <w:sz w:val="18"/>
                <w:szCs w:val="18"/>
              </w:rPr>
              <w:t>Lake Powell Elevation</w:t>
            </w:r>
            <w:r w:rsidRPr="00621B09">
              <w:rPr>
                <w:rFonts w:ascii="Arial" w:hAnsi="Arial" w:cs="Arial"/>
                <w:bCs/>
                <w:color w:val="000000"/>
                <w:sz w:val="18"/>
                <w:szCs w:val="18"/>
              </w:rPr>
              <w:br/>
              <w:t>(ft)</w:t>
            </w:r>
          </w:p>
        </w:tc>
        <w:tc>
          <w:tcPr>
            <w:tcW w:w="1018" w:type="dxa"/>
            <w:tcBorders>
              <w:left w:val="single" w:sz="4" w:space="0" w:color="auto"/>
              <w:bottom w:val="single" w:sz="4" w:space="0" w:color="auto"/>
            </w:tcBorders>
            <w:shd w:val="clear" w:color="auto" w:fill="auto"/>
            <w:noWrap/>
            <w:vAlign w:val="bottom"/>
          </w:tcPr>
          <w:p w:rsidR="00621B09" w:rsidRPr="00621B09" w:rsidRDefault="00621B09" w:rsidP="00621B09">
            <w:pPr>
              <w:jc w:val="center"/>
              <w:rPr>
                <w:rFonts w:ascii="Arial" w:hAnsi="Arial" w:cs="Arial"/>
                <w:sz w:val="18"/>
                <w:szCs w:val="18"/>
              </w:rPr>
            </w:pPr>
            <w:r>
              <w:rPr>
                <w:rFonts w:ascii="Arial" w:hAnsi="Arial" w:cs="Arial"/>
                <w:sz w:val="18"/>
                <w:szCs w:val="18"/>
              </w:rPr>
              <w:t>Water Release</w:t>
            </w:r>
            <w:r w:rsidRPr="00621B09">
              <w:rPr>
                <w:rFonts w:ascii="Arial" w:hAnsi="Arial" w:cs="Arial"/>
                <w:sz w:val="18"/>
                <w:szCs w:val="18"/>
              </w:rPr>
              <w:t xml:space="preserve"> (TAF)</w:t>
            </w:r>
          </w:p>
        </w:tc>
        <w:tc>
          <w:tcPr>
            <w:tcW w:w="1018" w:type="dxa"/>
            <w:tcBorders>
              <w:bottom w:val="single" w:sz="4" w:space="0" w:color="auto"/>
            </w:tcBorders>
            <w:vAlign w:val="bottom"/>
          </w:tcPr>
          <w:p w:rsidR="00621B09" w:rsidRPr="00621B09" w:rsidRDefault="00621B09" w:rsidP="00621B09">
            <w:pPr>
              <w:jc w:val="center"/>
              <w:rPr>
                <w:rFonts w:ascii="Arial" w:hAnsi="Arial" w:cs="Arial"/>
                <w:sz w:val="18"/>
                <w:szCs w:val="18"/>
              </w:rPr>
            </w:pPr>
            <w:r w:rsidRPr="00621B09">
              <w:rPr>
                <w:rFonts w:ascii="Arial" w:hAnsi="Arial" w:cs="Arial"/>
                <w:bCs/>
                <w:color w:val="000000"/>
                <w:sz w:val="18"/>
                <w:szCs w:val="18"/>
              </w:rPr>
              <w:t>Lake Powell Elevation</w:t>
            </w:r>
            <w:r w:rsidRPr="00621B09">
              <w:rPr>
                <w:rFonts w:ascii="Arial" w:hAnsi="Arial" w:cs="Arial"/>
                <w:bCs/>
                <w:color w:val="000000"/>
                <w:sz w:val="18"/>
                <w:szCs w:val="18"/>
              </w:rPr>
              <w:br/>
              <w:t>(ft)</w:t>
            </w:r>
          </w:p>
        </w:tc>
      </w:tr>
      <w:tr w:rsidR="00621B09" w:rsidRPr="00621B09" w:rsidTr="00227EFE">
        <w:trPr>
          <w:trHeight w:val="366"/>
        </w:trPr>
        <w:tc>
          <w:tcPr>
            <w:tcW w:w="904" w:type="dxa"/>
            <w:shd w:val="clear" w:color="000000" w:fill="FFFFFF"/>
            <w:vAlign w:val="center"/>
          </w:tcPr>
          <w:p w:rsidR="00621B09" w:rsidRPr="00621B09" w:rsidRDefault="00621B09" w:rsidP="00621B09">
            <w:pPr>
              <w:jc w:val="center"/>
              <w:rPr>
                <w:rFonts w:ascii="Arial" w:hAnsi="Arial" w:cs="Arial"/>
                <w:sz w:val="18"/>
                <w:szCs w:val="18"/>
              </w:rPr>
            </w:pPr>
            <w:r w:rsidRPr="00621B09">
              <w:rPr>
                <w:rFonts w:ascii="Arial" w:hAnsi="Arial" w:cs="Arial"/>
                <w:bCs/>
                <w:sz w:val="18"/>
                <w:szCs w:val="18"/>
              </w:rPr>
              <w:t>2018</w:t>
            </w:r>
          </w:p>
        </w:tc>
        <w:tc>
          <w:tcPr>
            <w:tcW w:w="720" w:type="dxa"/>
            <w:tcBorders>
              <w:left w:val="nil"/>
              <w:bottom w:val="nil"/>
              <w:right w:val="nil"/>
            </w:tcBorders>
            <w:shd w:val="clear" w:color="000000" w:fill="FFFFFF"/>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Oct.</w:t>
            </w:r>
          </w:p>
        </w:tc>
        <w:tc>
          <w:tcPr>
            <w:tcW w:w="900" w:type="dxa"/>
            <w:shd w:val="clear" w:color="auto" w:fill="auto"/>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625</w:t>
            </w:r>
          </w:p>
        </w:tc>
        <w:tc>
          <w:tcPr>
            <w:tcW w:w="990"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3590.5</w:t>
            </w:r>
          </w:p>
        </w:tc>
        <w:tc>
          <w:tcPr>
            <w:tcW w:w="1017"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625</w:t>
            </w:r>
          </w:p>
        </w:tc>
        <w:tc>
          <w:tcPr>
            <w:tcW w:w="1018"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3590.5</w:t>
            </w:r>
          </w:p>
        </w:tc>
        <w:tc>
          <w:tcPr>
            <w:tcW w:w="1018"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625</w:t>
            </w:r>
          </w:p>
        </w:tc>
        <w:tc>
          <w:tcPr>
            <w:tcW w:w="1017"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3590.5</w:t>
            </w:r>
          </w:p>
        </w:tc>
        <w:tc>
          <w:tcPr>
            <w:tcW w:w="1018"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625</w:t>
            </w:r>
          </w:p>
        </w:tc>
        <w:tc>
          <w:tcPr>
            <w:tcW w:w="1018" w:type="dxa"/>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3590.5</w:t>
            </w:r>
          </w:p>
        </w:tc>
      </w:tr>
      <w:tr w:rsidR="00621B09" w:rsidRPr="00621B09" w:rsidTr="00227EFE">
        <w:trPr>
          <w:trHeight w:val="366"/>
        </w:trPr>
        <w:tc>
          <w:tcPr>
            <w:tcW w:w="904" w:type="dxa"/>
            <w:shd w:val="clear" w:color="000000" w:fill="FFFFFF"/>
            <w:vAlign w:val="center"/>
          </w:tcPr>
          <w:p w:rsidR="00621B09" w:rsidRPr="00621B09" w:rsidRDefault="00621B09" w:rsidP="00621B09">
            <w:pPr>
              <w:jc w:val="center"/>
              <w:rPr>
                <w:rFonts w:ascii="Arial" w:hAnsi="Arial" w:cs="Arial"/>
                <w:sz w:val="18"/>
                <w:szCs w:val="18"/>
              </w:rPr>
            </w:pPr>
            <w:r w:rsidRPr="00621B09">
              <w:rPr>
                <w:rFonts w:ascii="Arial" w:hAnsi="Arial" w:cs="Arial"/>
                <w:bCs/>
                <w:sz w:val="18"/>
                <w:szCs w:val="18"/>
              </w:rPr>
              <w:t>2018</w:t>
            </w:r>
          </w:p>
        </w:tc>
        <w:tc>
          <w:tcPr>
            <w:tcW w:w="720" w:type="dxa"/>
            <w:tcBorders>
              <w:top w:val="nil"/>
              <w:left w:val="nil"/>
              <w:bottom w:val="nil"/>
              <w:right w:val="nil"/>
            </w:tcBorders>
            <w:shd w:val="clear" w:color="000000" w:fill="FFFFFF"/>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Nov.</w:t>
            </w:r>
          </w:p>
        </w:tc>
        <w:tc>
          <w:tcPr>
            <w:tcW w:w="900" w:type="dxa"/>
            <w:shd w:val="clear" w:color="auto" w:fill="auto"/>
            <w:noWrap/>
            <w:vAlign w:val="center"/>
          </w:tcPr>
          <w:p w:rsidR="00621B09" w:rsidRPr="00621B09" w:rsidRDefault="00621B09" w:rsidP="00621B09">
            <w:pPr>
              <w:jc w:val="center"/>
              <w:rPr>
                <w:rFonts w:ascii="Arial" w:hAnsi="Arial" w:cs="Arial"/>
                <w:b/>
                <w:sz w:val="18"/>
                <w:szCs w:val="18"/>
              </w:rPr>
            </w:pPr>
            <w:r w:rsidRPr="00621B09">
              <w:rPr>
                <w:rFonts w:ascii="Arial" w:hAnsi="Arial" w:cs="Arial"/>
                <w:b/>
                <w:sz w:val="18"/>
                <w:szCs w:val="18"/>
              </w:rPr>
              <w:t>662</w:t>
            </w:r>
          </w:p>
        </w:tc>
        <w:tc>
          <w:tcPr>
            <w:tcW w:w="990"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3586.5</w:t>
            </w:r>
          </w:p>
        </w:tc>
        <w:tc>
          <w:tcPr>
            <w:tcW w:w="1017"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625</w:t>
            </w:r>
          </w:p>
        </w:tc>
        <w:tc>
          <w:tcPr>
            <w:tcW w:w="1018"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3586.9</w:t>
            </w:r>
          </w:p>
        </w:tc>
        <w:tc>
          <w:tcPr>
            <w:tcW w:w="1018"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625</w:t>
            </w:r>
          </w:p>
        </w:tc>
        <w:tc>
          <w:tcPr>
            <w:tcW w:w="1017"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3586.9</w:t>
            </w:r>
          </w:p>
        </w:tc>
        <w:tc>
          <w:tcPr>
            <w:tcW w:w="1018"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625</w:t>
            </w:r>
          </w:p>
        </w:tc>
        <w:tc>
          <w:tcPr>
            <w:tcW w:w="1018" w:type="dxa"/>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3586.9</w:t>
            </w:r>
          </w:p>
        </w:tc>
      </w:tr>
      <w:tr w:rsidR="00621B09" w:rsidRPr="00621B09" w:rsidTr="00227EFE">
        <w:trPr>
          <w:trHeight w:val="366"/>
        </w:trPr>
        <w:tc>
          <w:tcPr>
            <w:tcW w:w="904" w:type="dxa"/>
            <w:shd w:val="clear" w:color="000000" w:fill="FFFFFF"/>
            <w:vAlign w:val="center"/>
          </w:tcPr>
          <w:p w:rsidR="00621B09" w:rsidRPr="00621B09" w:rsidRDefault="00621B09" w:rsidP="00621B09">
            <w:pPr>
              <w:jc w:val="center"/>
              <w:rPr>
                <w:rFonts w:ascii="Arial" w:hAnsi="Arial" w:cs="Arial"/>
                <w:bCs/>
                <w:i/>
                <w:sz w:val="18"/>
                <w:szCs w:val="18"/>
              </w:rPr>
            </w:pPr>
            <w:r w:rsidRPr="00621B09">
              <w:rPr>
                <w:rFonts w:ascii="Arial" w:hAnsi="Arial" w:cs="Arial"/>
                <w:bCs/>
                <w:sz w:val="18"/>
                <w:szCs w:val="18"/>
              </w:rPr>
              <w:t>2018</w:t>
            </w:r>
          </w:p>
        </w:tc>
        <w:tc>
          <w:tcPr>
            <w:tcW w:w="720" w:type="dxa"/>
            <w:tcBorders>
              <w:top w:val="nil"/>
              <w:left w:val="nil"/>
              <w:bottom w:val="nil"/>
              <w:right w:val="nil"/>
            </w:tcBorders>
            <w:shd w:val="clear" w:color="000000" w:fill="FFFFFF"/>
            <w:noWrap/>
            <w:vAlign w:val="center"/>
          </w:tcPr>
          <w:p w:rsidR="00621B09" w:rsidRPr="00621B09" w:rsidRDefault="00621B09" w:rsidP="00621B09">
            <w:pPr>
              <w:jc w:val="center"/>
              <w:rPr>
                <w:rFonts w:ascii="Arial" w:hAnsi="Arial" w:cs="Arial"/>
                <w:i/>
                <w:sz w:val="18"/>
                <w:szCs w:val="18"/>
              </w:rPr>
            </w:pPr>
            <w:r w:rsidRPr="00621B09">
              <w:rPr>
                <w:rFonts w:ascii="Arial" w:hAnsi="Arial" w:cs="Arial"/>
                <w:sz w:val="18"/>
                <w:szCs w:val="18"/>
              </w:rPr>
              <w:t>Dec.</w:t>
            </w:r>
          </w:p>
        </w:tc>
        <w:tc>
          <w:tcPr>
            <w:tcW w:w="900" w:type="dxa"/>
            <w:shd w:val="clear" w:color="auto" w:fill="auto"/>
            <w:noWrap/>
            <w:vAlign w:val="center"/>
          </w:tcPr>
          <w:p w:rsidR="00621B09" w:rsidRPr="00621B09" w:rsidRDefault="00621B09" w:rsidP="00621B09">
            <w:pPr>
              <w:jc w:val="center"/>
              <w:rPr>
                <w:rFonts w:ascii="Arial" w:hAnsi="Arial" w:cs="Arial"/>
                <w:i/>
                <w:sz w:val="18"/>
                <w:szCs w:val="18"/>
              </w:rPr>
            </w:pPr>
            <w:r w:rsidRPr="00621B09">
              <w:rPr>
                <w:rFonts w:ascii="Arial" w:hAnsi="Arial" w:cs="Arial"/>
                <w:sz w:val="18"/>
                <w:szCs w:val="18"/>
              </w:rPr>
              <w:t>740</w:t>
            </w:r>
          </w:p>
        </w:tc>
        <w:tc>
          <w:tcPr>
            <w:tcW w:w="990"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3581.8</w:t>
            </w:r>
          </w:p>
        </w:tc>
        <w:tc>
          <w:tcPr>
            <w:tcW w:w="1017"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i/>
                <w:sz w:val="18"/>
                <w:szCs w:val="18"/>
              </w:rPr>
            </w:pPr>
            <w:r w:rsidRPr="00621B09">
              <w:rPr>
                <w:rFonts w:ascii="Arial" w:hAnsi="Arial" w:cs="Arial"/>
                <w:sz w:val="18"/>
                <w:szCs w:val="18"/>
              </w:rPr>
              <w:t>740</w:t>
            </w:r>
          </w:p>
        </w:tc>
        <w:tc>
          <w:tcPr>
            <w:tcW w:w="1018"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3582.3</w:t>
            </w:r>
          </w:p>
        </w:tc>
        <w:tc>
          <w:tcPr>
            <w:tcW w:w="1018"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i/>
                <w:sz w:val="18"/>
                <w:szCs w:val="18"/>
              </w:rPr>
            </w:pPr>
            <w:r w:rsidRPr="00621B09">
              <w:rPr>
                <w:rFonts w:ascii="Arial" w:hAnsi="Arial" w:cs="Arial"/>
                <w:sz w:val="18"/>
                <w:szCs w:val="18"/>
              </w:rPr>
              <w:t>740</w:t>
            </w:r>
          </w:p>
        </w:tc>
        <w:tc>
          <w:tcPr>
            <w:tcW w:w="1017"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3582.3</w:t>
            </w:r>
          </w:p>
        </w:tc>
        <w:tc>
          <w:tcPr>
            <w:tcW w:w="1018"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i/>
                <w:sz w:val="18"/>
                <w:szCs w:val="18"/>
              </w:rPr>
            </w:pPr>
            <w:r w:rsidRPr="00621B09">
              <w:rPr>
                <w:rFonts w:ascii="Arial" w:hAnsi="Arial" w:cs="Arial"/>
                <w:sz w:val="18"/>
                <w:szCs w:val="18"/>
              </w:rPr>
              <w:t>740</w:t>
            </w:r>
          </w:p>
        </w:tc>
        <w:tc>
          <w:tcPr>
            <w:tcW w:w="1018" w:type="dxa"/>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3582.3</w:t>
            </w:r>
          </w:p>
        </w:tc>
      </w:tr>
      <w:tr w:rsidR="00621B09" w:rsidRPr="00621B09" w:rsidTr="00227EFE">
        <w:trPr>
          <w:trHeight w:val="366"/>
        </w:trPr>
        <w:tc>
          <w:tcPr>
            <w:tcW w:w="904" w:type="dxa"/>
            <w:shd w:val="clear" w:color="000000" w:fill="FFFFFF"/>
            <w:vAlign w:val="center"/>
          </w:tcPr>
          <w:p w:rsidR="00621B09" w:rsidRPr="00621B09" w:rsidRDefault="00621B09" w:rsidP="00621B09">
            <w:pPr>
              <w:jc w:val="center"/>
              <w:rPr>
                <w:rFonts w:ascii="Arial" w:hAnsi="Arial" w:cs="Arial"/>
                <w:sz w:val="18"/>
                <w:szCs w:val="18"/>
              </w:rPr>
            </w:pPr>
            <w:r w:rsidRPr="00621B09">
              <w:rPr>
                <w:rFonts w:ascii="Arial" w:hAnsi="Arial" w:cs="Arial"/>
                <w:bCs/>
                <w:sz w:val="18"/>
                <w:szCs w:val="18"/>
              </w:rPr>
              <w:t>2019</w:t>
            </w:r>
          </w:p>
        </w:tc>
        <w:tc>
          <w:tcPr>
            <w:tcW w:w="720" w:type="dxa"/>
            <w:tcBorders>
              <w:top w:val="nil"/>
              <w:left w:val="nil"/>
              <w:bottom w:val="nil"/>
              <w:right w:val="nil"/>
            </w:tcBorders>
            <w:shd w:val="clear" w:color="000000" w:fill="FFFFFF"/>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Jan.</w:t>
            </w:r>
          </w:p>
        </w:tc>
        <w:tc>
          <w:tcPr>
            <w:tcW w:w="900" w:type="dxa"/>
            <w:shd w:val="clear" w:color="auto" w:fill="auto"/>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860</w:t>
            </w:r>
          </w:p>
        </w:tc>
        <w:tc>
          <w:tcPr>
            <w:tcW w:w="990"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3575.7</w:t>
            </w:r>
          </w:p>
        </w:tc>
        <w:tc>
          <w:tcPr>
            <w:tcW w:w="1017"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860</w:t>
            </w:r>
          </w:p>
        </w:tc>
        <w:tc>
          <w:tcPr>
            <w:tcW w:w="1018"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3576.1</w:t>
            </w:r>
          </w:p>
        </w:tc>
        <w:tc>
          <w:tcPr>
            <w:tcW w:w="1018"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860</w:t>
            </w:r>
          </w:p>
        </w:tc>
        <w:tc>
          <w:tcPr>
            <w:tcW w:w="1017"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3576.1</w:t>
            </w:r>
          </w:p>
        </w:tc>
        <w:tc>
          <w:tcPr>
            <w:tcW w:w="1018" w:type="dxa"/>
            <w:tcBorders>
              <w:left w:val="single" w:sz="4" w:space="0" w:color="auto"/>
            </w:tcBorders>
            <w:shd w:val="clear" w:color="auto" w:fill="auto"/>
            <w:noWrap/>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860</w:t>
            </w:r>
          </w:p>
        </w:tc>
        <w:tc>
          <w:tcPr>
            <w:tcW w:w="1018" w:type="dxa"/>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3576.1</w:t>
            </w:r>
          </w:p>
        </w:tc>
      </w:tr>
      <w:tr w:rsidR="00621B09" w:rsidRPr="00621B09" w:rsidTr="00227EFE">
        <w:trPr>
          <w:trHeight w:val="366"/>
        </w:trPr>
        <w:tc>
          <w:tcPr>
            <w:tcW w:w="904" w:type="dxa"/>
            <w:shd w:val="clear" w:color="000000" w:fill="FFFFFF"/>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2019</w:t>
            </w:r>
          </w:p>
        </w:tc>
        <w:tc>
          <w:tcPr>
            <w:tcW w:w="720" w:type="dxa"/>
            <w:tcBorders>
              <w:top w:val="nil"/>
              <w:left w:val="nil"/>
              <w:bottom w:val="nil"/>
              <w:right w:val="nil"/>
            </w:tcBorders>
            <w:shd w:val="clear" w:color="000000" w:fill="FFFFFF"/>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Feb.</w:t>
            </w:r>
          </w:p>
        </w:tc>
        <w:tc>
          <w:tcPr>
            <w:tcW w:w="900" w:type="dxa"/>
            <w:shd w:val="clear" w:color="auto" w:fill="auto"/>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740</w:t>
            </w:r>
          </w:p>
        </w:tc>
        <w:tc>
          <w:tcPr>
            <w:tcW w:w="990"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3571.1</w:t>
            </w:r>
          </w:p>
        </w:tc>
        <w:tc>
          <w:tcPr>
            <w:tcW w:w="1017" w:type="dxa"/>
            <w:tcBorders>
              <w:left w:val="single" w:sz="4" w:space="0" w:color="auto"/>
            </w:tcBorders>
            <w:shd w:val="clear" w:color="auto" w:fill="auto"/>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740</w:t>
            </w:r>
          </w:p>
        </w:tc>
        <w:tc>
          <w:tcPr>
            <w:tcW w:w="1018"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3571.5</w:t>
            </w:r>
          </w:p>
        </w:tc>
        <w:tc>
          <w:tcPr>
            <w:tcW w:w="1018" w:type="dxa"/>
            <w:tcBorders>
              <w:left w:val="single" w:sz="4" w:space="0" w:color="auto"/>
            </w:tcBorders>
            <w:shd w:val="clear" w:color="auto" w:fill="auto"/>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740</w:t>
            </w:r>
          </w:p>
        </w:tc>
        <w:tc>
          <w:tcPr>
            <w:tcW w:w="1017"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3571.5</w:t>
            </w:r>
          </w:p>
        </w:tc>
        <w:tc>
          <w:tcPr>
            <w:tcW w:w="1018" w:type="dxa"/>
            <w:tcBorders>
              <w:left w:val="single" w:sz="4" w:space="0" w:color="auto"/>
            </w:tcBorders>
            <w:shd w:val="clear" w:color="auto" w:fill="auto"/>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740</w:t>
            </w:r>
          </w:p>
        </w:tc>
        <w:tc>
          <w:tcPr>
            <w:tcW w:w="1018" w:type="dxa"/>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3571.5</w:t>
            </w:r>
          </w:p>
        </w:tc>
      </w:tr>
      <w:tr w:rsidR="00621B09" w:rsidRPr="00621B09" w:rsidTr="00227EFE">
        <w:trPr>
          <w:trHeight w:val="366"/>
        </w:trPr>
        <w:tc>
          <w:tcPr>
            <w:tcW w:w="904" w:type="dxa"/>
            <w:shd w:val="clear" w:color="000000" w:fill="FFFFFF"/>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2019</w:t>
            </w:r>
          </w:p>
        </w:tc>
        <w:tc>
          <w:tcPr>
            <w:tcW w:w="720" w:type="dxa"/>
            <w:tcBorders>
              <w:top w:val="nil"/>
              <w:left w:val="nil"/>
              <w:bottom w:val="nil"/>
              <w:right w:val="nil"/>
            </w:tcBorders>
            <w:shd w:val="clear" w:color="000000" w:fill="FFFFFF"/>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Mar.</w:t>
            </w:r>
          </w:p>
        </w:tc>
        <w:tc>
          <w:tcPr>
            <w:tcW w:w="900" w:type="dxa"/>
            <w:shd w:val="clear" w:color="auto" w:fill="auto"/>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765</w:t>
            </w:r>
          </w:p>
        </w:tc>
        <w:tc>
          <w:tcPr>
            <w:tcW w:w="990" w:type="dxa"/>
            <w:tcBorders>
              <w:right w:val="single" w:sz="4" w:space="0" w:color="auto"/>
            </w:tcBorders>
            <w:vAlign w:val="center"/>
          </w:tcPr>
          <w:p w:rsidR="00621B09" w:rsidRPr="00621B09" w:rsidRDefault="00621B09" w:rsidP="00621B09">
            <w:pPr>
              <w:jc w:val="center"/>
              <w:rPr>
                <w:rFonts w:ascii="Arial" w:hAnsi="Arial" w:cs="Arial"/>
                <w:b/>
                <w:sz w:val="18"/>
                <w:szCs w:val="18"/>
              </w:rPr>
            </w:pPr>
            <w:r w:rsidRPr="00621B09">
              <w:rPr>
                <w:rFonts w:ascii="Arial" w:hAnsi="Arial" w:cs="Arial"/>
                <w:sz w:val="18"/>
                <w:szCs w:val="18"/>
              </w:rPr>
              <w:t>3568.8</w:t>
            </w:r>
          </w:p>
        </w:tc>
        <w:tc>
          <w:tcPr>
            <w:tcW w:w="1017" w:type="dxa"/>
            <w:tcBorders>
              <w:left w:val="single" w:sz="4" w:space="0" w:color="auto"/>
            </w:tcBorders>
            <w:shd w:val="clear" w:color="auto" w:fill="auto"/>
            <w:noWrap/>
            <w:vAlign w:val="center"/>
            <w:hideMark/>
          </w:tcPr>
          <w:p w:rsidR="00621B09" w:rsidRPr="00621B09" w:rsidRDefault="00621B09" w:rsidP="00621B09">
            <w:pPr>
              <w:jc w:val="center"/>
              <w:rPr>
                <w:rFonts w:ascii="Arial" w:hAnsi="Arial" w:cs="Arial"/>
                <w:b/>
                <w:sz w:val="18"/>
                <w:szCs w:val="18"/>
              </w:rPr>
            </w:pPr>
            <w:r w:rsidRPr="00621B09">
              <w:rPr>
                <w:rFonts w:ascii="Arial" w:hAnsi="Arial" w:cs="Arial"/>
                <w:b/>
                <w:sz w:val="18"/>
                <w:szCs w:val="18"/>
              </w:rPr>
              <w:t>783.5</w:t>
            </w:r>
          </w:p>
        </w:tc>
        <w:tc>
          <w:tcPr>
            <w:tcW w:w="1018" w:type="dxa"/>
            <w:tcBorders>
              <w:right w:val="single" w:sz="4" w:space="0" w:color="auto"/>
            </w:tcBorders>
            <w:vAlign w:val="center"/>
          </w:tcPr>
          <w:p w:rsidR="00621B09" w:rsidRPr="00621B09" w:rsidRDefault="00621B09" w:rsidP="00621B09">
            <w:pPr>
              <w:jc w:val="center"/>
              <w:rPr>
                <w:rFonts w:ascii="Arial" w:hAnsi="Arial" w:cs="Arial"/>
                <w:b/>
                <w:sz w:val="18"/>
                <w:szCs w:val="18"/>
              </w:rPr>
            </w:pPr>
            <w:r w:rsidRPr="00621B09">
              <w:rPr>
                <w:rFonts w:ascii="Arial" w:hAnsi="Arial" w:cs="Arial"/>
                <w:sz w:val="18"/>
                <w:szCs w:val="18"/>
              </w:rPr>
              <w:t>3569.0</w:t>
            </w:r>
          </w:p>
        </w:tc>
        <w:tc>
          <w:tcPr>
            <w:tcW w:w="1018" w:type="dxa"/>
            <w:tcBorders>
              <w:left w:val="single" w:sz="4" w:space="0" w:color="auto"/>
            </w:tcBorders>
            <w:shd w:val="clear" w:color="auto" w:fill="auto"/>
            <w:noWrap/>
            <w:vAlign w:val="center"/>
            <w:hideMark/>
          </w:tcPr>
          <w:p w:rsidR="00621B09" w:rsidRPr="00621B09" w:rsidRDefault="00621B09" w:rsidP="00621B09">
            <w:pPr>
              <w:jc w:val="center"/>
              <w:rPr>
                <w:rFonts w:ascii="Arial" w:hAnsi="Arial" w:cs="Arial"/>
                <w:b/>
                <w:sz w:val="18"/>
                <w:szCs w:val="18"/>
              </w:rPr>
            </w:pPr>
            <w:r w:rsidRPr="00621B09">
              <w:rPr>
                <w:rFonts w:ascii="Arial" w:hAnsi="Arial" w:cs="Arial"/>
                <w:b/>
                <w:sz w:val="18"/>
                <w:szCs w:val="18"/>
              </w:rPr>
              <w:t>783.5</w:t>
            </w:r>
          </w:p>
        </w:tc>
        <w:tc>
          <w:tcPr>
            <w:tcW w:w="1017"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3569.0</w:t>
            </w:r>
          </w:p>
        </w:tc>
        <w:tc>
          <w:tcPr>
            <w:tcW w:w="1018" w:type="dxa"/>
            <w:tcBorders>
              <w:left w:val="single" w:sz="4" w:space="0" w:color="auto"/>
            </w:tcBorders>
            <w:shd w:val="clear" w:color="auto" w:fill="auto"/>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765</w:t>
            </w:r>
          </w:p>
        </w:tc>
        <w:tc>
          <w:tcPr>
            <w:tcW w:w="1018" w:type="dxa"/>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3569.3</w:t>
            </w:r>
          </w:p>
        </w:tc>
      </w:tr>
      <w:tr w:rsidR="00621B09" w:rsidRPr="00621B09" w:rsidTr="00227EFE">
        <w:trPr>
          <w:trHeight w:val="366"/>
        </w:trPr>
        <w:tc>
          <w:tcPr>
            <w:tcW w:w="904" w:type="dxa"/>
            <w:shd w:val="clear" w:color="000000" w:fill="FFFFFF"/>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2019</w:t>
            </w:r>
          </w:p>
        </w:tc>
        <w:tc>
          <w:tcPr>
            <w:tcW w:w="720" w:type="dxa"/>
            <w:tcBorders>
              <w:top w:val="nil"/>
              <w:left w:val="nil"/>
              <w:bottom w:val="nil"/>
              <w:right w:val="nil"/>
            </w:tcBorders>
            <w:shd w:val="clear" w:color="000000" w:fill="FFFFFF"/>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Apr.</w:t>
            </w:r>
          </w:p>
        </w:tc>
        <w:tc>
          <w:tcPr>
            <w:tcW w:w="900" w:type="dxa"/>
            <w:shd w:val="clear" w:color="auto" w:fill="auto"/>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670</w:t>
            </w:r>
          </w:p>
        </w:tc>
        <w:tc>
          <w:tcPr>
            <w:tcW w:w="990" w:type="dxa"/>
            <w:tcBorders>
              <w:right w:val="single" w:sz="4" w:space="0" w:color="auto"/>
            </w:tcBorders>
            <w:vAlign w:val="center"/>
          </w:tcPr>
          <w:p w:rsidR="00621B09" w:rsidRPr="00621B09" w:rsidRDefault="00621B09" w:rsidP="00621B09">
            <w:pPr>
              <w:jc w:val="center"/>
              <w:rPr>
                <w:rFonts w:ascii="Arial" w:hAnsi="Arial" w:cs="Arial"/>
                <w:b/>
                <w:sz w:val="18"/>
                <w:szCs w:val="18"/>
              </w:rPr>
            </w:pPr>
            <w:r w:rsidRPr="00621B09">
              <w:rPr>
                <w:rFonts w:ascii="Arial" w:hAnsi="Arial" w:cs="Arial"/>
                <w:sz w:val="18"/>
                <w:szCs w:val="18"/>
              </w:rPr>
              <w:t>3571.2</w:t>
            </w:r>
          </w:p>
        </w:tc>
        <w:tc>
          <w:tcPr>
            <w:tcW w:w="1017" w:type="dxa"/>
            <w:tcBorders>
              <w:left w:val="single" w:sz="4" w:space="0" w:color="auto"/>
            </w:tcBorders>
            <w:shd w:val="clear" w:color="auto" w:fill="auto"/>
            <w:noWrap/>
            <w:vAlign w:val="center"/>
            <w:hideMark/>
          </w:tcPr>
          <w:p w:rsidR="00621B09" w:rsidRPr="00621B09" w:rsidRDefault="00621B09" w:rsidP="00621B09">
            <w:pPr>
              <w:jc w:val="center"/>
              <w:rPr>
                <w:rFonts w:ascii="Arial" w:hAnsi="Arial" w:cs="Arial"/>
                <w:b/>
                <w:sz w:val="18"/>
                <w:szCs w:val="18"/>
              </w:rPr>
            </w:pPr>
            <w:r w:rsidRPr="00621B09">
              <w:rPr>
                <w:rFonts w:ascii="Arial" w:hAnsi="Arial" w:cs="Arial"/>
                <w:b/>
                <w:sz w:val="18"/>
                <w:szCs w:val="18"/>
              </w:rPr>
              <w:t>688.5</w:t>
            </w:r>
          </w:p>
        </w:tc>
        <w:tc>
          <w:tcPr>
            <w:tcW w:w="1018" w:type="dxa"/>
            <w:tcBorders>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3571.2</w:t>
            </w:r>
          </w:p>
        </w:tc>
        <w:tc>
          <w:tcPr>
            <w:tcW w:w="1018" w:type="dxa"/>
            <w:tcBorders>
              <w:left w:val="single" w:sz="4" w:space="0" w:color="auto"/>
            </w:tcBorders>
            <w:shd w:val="clear" w:color="auto" w:fill="auto"/>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670</w:t>
            </w:r>
          </w:p>
        </w:tc>
        <w:tc>
          <w:tcPr>
            <w:tcW w:w="1017" w:type="dxa"/>
            <w:tcBorders>
              <w:right w:val="single" w:sz="4" w:space="0" w:color="auto"/>
            </w:tcBorders>
            <w:vAlign w:val="center"/>
          </w:tcPr>
          <w:p w:rsidR="00621B09" w:rsidRPr="00621B09" w:rsidRDefault="00621B09" w:rsidP="00621B09">
            <w:pPr>
              <w:jc w:val="center"/>
              <w:rPr>
                <w:rFonts w:ascii="Arial" w:hAnsi="Arial" w:cs="Arial"/>
                <w:b/>
                <w:sz w:val="18"/>
                <w:szCs w:val="18"/>
              </w:rPr>
            </w:pPr>
            <w:r w:rsidRPr="00621B09">
              <w:rPr>
                <w:rFonts w:ascii="Arial" w:hAnsi="Arial" w:cs="Arial"/>
                <w:sz w:val="18"/>
                <w:szCs w:val="18"/>
              </w:rPr>
              <w:t>3571.5</w:t>
            </w:r>
          </w:p>
        </w:tc>
        <w:tc>
          <w:tcPr>
            <w:tcW w:w="1018" w:type="dxa"/>
            <w:tcBorders>
              <w:left w:val="single" w:sz="4" w:space="0" w:color="auto"/>
            </w:tcBorders>
            <w:shd w:val="clear" w:color="auto" w:fill="auto"/>
            <w:noWrap/>
            <w:vAlign w:val="center"/>
            <w:hideMark/>
          </w:tcPr>
          <w:p w:rsidR="00621B09" w:rsidRPr="00621B09" w:rsidRDefault="00621B09" w:rsidP="00621B09">
            <w:pPr>
              <w:jc w:val="center"/>
              <w:rPr>
                <w:rFonts w:ascii="Arial" w:hAnsi="Arial" w:cs="Arial"/>
                <w:b/>
                <w:sz w:val="18"/>
                <w:szCs w:val="18"/>
              </w:rPr>
            </w:pPr>
            <w:r w:rsidRPr="00621B09">
              <w:rPr>
                <w:rFonts w:ascii="Arial" w:hAnsi="Arial" w:cs="Arial"/>
                <w:b/>
                <w:sz w:val="18"/>
                <w:szCs w:val="18"/>
              </w:rPr>
              <w:t>688.5</w:t>
            </w:r>
          </w:p>
        </w:tc>
        <w:tc>
          <w:tcPr>
            <w:tcW w:w="1018" w:type="dxa"/>
            <w:vAlign w:val="center"/>
          </w:tcPr>
          <w:p w:rsidR="00621B09" w:rsidRPr="00621B09" w:rsidRDefault="00621B09" w:rsidP="00621B09">
            <w:pPr>
              <w:jc w:val="center"/>
              <w:rPr>
                <w:rFonts w:ascii="Arial" w:hAnsi="Arial" w:cs="Arial"/>
                <w:b/>
                <w:sz w:val="18"/>
                <w:szCs w:val="18"/>
              </w:rPr>
            </w:pPr>
            <w:r w:rsidRPr="00621B09">
              <w:rPr>
                <w:rFonts w:ascii="Arial" w:hAnsi="Arial" w:cs="Arial"/>
                <w:sz w:val="18"/>
                <w:szCs w:val="18"/>
              </w:rPr>
              <w:t>3571.5</w:t>
            </w:r>
          </w:p>
        </w:tc>
      </w:tr>
      <w:tr w:rsidR="00621B09" w:rsidRPr="00621B09" w:rsidTr="00227EFE">
        <w:trPr>
          <w:trHeight w:val="366"/>
        </w:trPr>
        <w:tc>
          <w:tcPr>
            <w:tcW w:w="904" w:type="dxa"/>
            <w:tcBorders>
              <w:bottom w:val="single" w:sz="4" w:space="0" w:color="auto"/>
            </w:tcBorders>
            <w:shd w:val="clear" w:color="000000" w:fill="FFFFFF"/>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2019</w:t>
            </w:r>
          </w:p>
        </w:tc>
        <w:tc>
          <w:tcPr>
            <w:tcW w:w="720" w:type="dxa"/>
            <w:tcBorders>
              <w:top w:val="nil"/>
              <w:left w:val="nil"/>
              <w:bottom w:val="single" w:sz="4" w:space="0" w:color="auto"/>
              <w:right w:val="nil"/>
            </w:tcBorders>
            <w:shd w:val="clear" w:color="000000" w:fill="FFFFFF"/>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May</w:t>
            </w:r>
          </w:p>
        </w:tc>
        <w:tc>
          <w:tcPr>
            <w:tcW w:w="900" w:type="dxa"/>
            <w:tcBorders>
              <w:bottom w:val="single" w:sz="4" w:space="0" w:color="auto"/>
            </w:tcBorders>
            <w:shd w:val="clear" w:color="auto" w:fill="auto"/>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670</w:t>
            </w:r>
          </w:p>
        </w:tc>
        <w:tc>
          <w:tcPr>
            <w:tcW w:w="990" w:type="dxa"/>
            <w:tcBorders>
              <w:bottom w:val="single" w:sz="4" w:space="0" w:color="auto"/>
              <w:right w:val="single" w:sz="4" w:space="0" w:color="auto"/>
            </w:tcBorders>
            <w:vAlign w:val="center"/>
          </w:tcPr>
          <w:p w:rsidR="00621B09" w:rsidRPr="00621B09" w:rsidRDefault="00621B09" w:rsidP="00621B09">
            <w:pPr>
              <w:jc w:val="center"/>
              <w:rPr>
                <w:rFonts w:ascii="Arial" w:hAnsi="Arial" w:cs="Arial"/>
                <w:sz w:val="18"/>
                <w:szCs w:val="18"/>
              </w:rPr>
            </w:pPr>
            <w:r w:rsidRPr="00621B09">
              <w:rPr>
                <w:rFonts w:ascii="Arial" w:hAnsi="Arial" w:cs="Arial"/>
                <w:sz w:val="18"/>
                <w:szCs w:val="18"/>
              </w:rPr>
              <w:t>3585.3</w:t>
            </w:r>
          </w:p>
        </w:tc>
        <w:tc>
          <w:tcPr>
            <w:tcW w:w="1017" w:type="dxa"/>
            <w:tcBorders>
              <w:left w:val="single" w:sz="4" w:space="0" w:color="auto"/>
              <w:bottom w:val="single" w:sz="4" w:space="0" w:color="auto"/>
            </w:tcBorders>
            <w:shd w:val="clear" w:color="auto" w:fill="auto"/>
            <w:noWrap/>
            <w:vAlign w:val="center"/>
            <w:hideMark/>
          </w:tcPr>
          <w:p w:rsidR="00621B09" w:rsidRPr="00621B09" w:rsidRDefault="00621B09" w:rsidP="00621B09">
            <w:pPr>
              <w:jc w:val="center"/>
              <w:rPr>
                <w:rFonts w:ascii="Arial" w:hAnsi="Arial" w:cs="Arial"/>
                <w:sz w:val="18"/>
                <w:szCs w:val="18"/>
              </w:rPr>
            </w:pPr>
            <w:r w:rsidRPr="00621B09">
              <w:rPr>
                <w:rFonts w:ascii="Arial" w:hAnsi="Arial" w:cs="Arial"/>
                <w:sz w:val="18"/>
                <w:szCs w:val="18"/>
              </w:rPr>
              <w:t>670</w:t>
            </w:r>
          </w:p>
        </w:tc>
        <w:tc>
          <w:tcPr>
            <w:tcW w:w="1018" w:type="dxa"/>
            <w:tcBorders>
              <w:bottom w:val="single" w:sz="4" w:space="0" w:color="auto"/>
              <w:right w:val="single" w:sz="4" w:space="0" w:color="auto"/>
            </w:tcBorders>
            <w:vAlign w:val="center"/>
          </w:tcPr>
          <w:p w:rsidR="00621B09" w:rsidRPr="00621B09" w:rsidRDefault="00621B09" w:rsidP="00621B09">
            <w:pPr>
              <w:jc w:val="center"/>
              <w:rPr>
                <w:rFonts w:ascii="Arial" w:hAnsi="Arial" w:cs="Arial"/>
                <w:b/>
                <w:sz w:val="18"/>
                <w:szCs w:val="18"/>
              </w:rPr>
            </w:pPr>
            <w:r w:rsidRPr="00621B09">
              <w:rPr>
                <w:rFonts w:ascii="Arial" w:hAnsi="Arial" w:cs="Arial"/>
                <w:sz w:val="18"/>
                <w:szCs w:val="18"/>
              </w:rPr>
              <w:t>3585.3</w:t>
            </w:r>
          </w:p>
        </w:tc>
        <w:tc>
          <w:tcPr>
            <w:tcW w:w="1018" w:type="dxa"/>
            <w:tcBorders>
              <w:left w:val="single" w:sz="4" w:space="0" w:color="auto"/>
              <w:bottom w:val="single" w:sz="4" w:space="0" w:color="auto"/>
            </w:tcBorders>
            <w:shd w:val="clear" w:color="auto" w:fill="auto"/>
            <w:noWrap/>
            <w:vAlign w:val="center"/>
            <w:hideMark/>
          </w:tcPr>
          <w:p w:rsidR="00621B09" w:rsidRPr="00621B09" w:rsidRDefault="00621B09" w:rsidP="00621B09">
            <w:pPr>
              <w:jc w:val="center"/>
              <w:rPr>
                <w:rFonts w:ascii="Arial" w:hAnsi="Arial" w:cs="Arial"/>
                <w:b/>
                <w:sz w:val="18"/>
                <w:szCs w:val="18"/>
              </w:rPr>
            </w:pPr>
            <w:r w:rsidRPr="00621B09">
              <w:rPr>
                <w:rFonts w:ascii="Arial" w:hAnsi="Arial" w:cs="Arial"/>
                <w:b/>
                <w:sz w:val="18"/>
                <w:szCs w:val="18"/>
              </w:rPr>
              <w:t>688.5</w:t>
            </w:r>
          </w:p>
        </w:tc>
        <w:tc>
          <w:tcPr>
            <w:tcW w:w="1017" w:type="dxa"/>
            <w:tcBorders>
              <w:bottom w:val="single" w:sz="4" w:space="0" w:color="auto"/>
              <w:right w:val="single" w:sz="4" w:space="0" w:color="auto"/>
            </w:tcBorders>
            <w:vAlign w:val="center"/>
          </w:tcPr>
          <w:p w:rsidR="00621B09" w:rsidRPr="00621B09" w:rsidRDefault="00621B09" w:rsidP="00621B09">
            <w:pPr>
              <w:jc w:val="center"/>
              <w:rPr>
                <w:rFonts w:ascii="Arial" w:hAnsi="Arial" w:cs="Arial"/>
                <w:b/>
                <w:sz w:val="18"/>
                <w:szCs w:val="18"/>
              </w:rPr>
            </w:pPr>
            <w:r w:rsidRPr="00621B09">
              <w:rPr>
                <w:rFonts w:ascii="Arial" w:hAnsi="Arial" w:cs="Arial"/>
                <w:sz w:val="18"/>
                <w:szCs w:val="18"/>
              </w:rPr>
              <w:t>3585.3</w:t>
            </w:r>
          </w:p>
        </w:tc>
        <w:tc>
          <w:tcPr>
            <w:tcW w:w="1018" w:type="dxa"/>
            <w:tcBorders>
              <w:left w:val="single" w:sz="4" w:space="0" w:color="auto"/>
              <w:bottom w:val="single" w:sz="4" w:space="0" w:color="auto"/>
            </w:tcBorders>
            <w:shd w:val="clear" w:color="auto" w:fill="auto"/>
            <w:noWrap/>
            <w:vAlign w:val="center"/>
            <w:hideMark/>
          </w:tcPr>
          <w:p w:rsidR="00621B09" w:rsidRPr="00621B09" w:rsidRDefault="00621B09" w:rsidP="00621B09">
            <w:pPr>
              <w:jc w:val="center"/>
              <w:rPr>
                <w:rFonts w:ascii="Arial" w:hAnsi="Arial" w:cs="Arial"/>
                <w:b/>
                <w:sz w:val="18"/>
                <w:szCs w:val="18"/>
              </w:rPr>
            </w:pPr>
            <w:r w:rsidRPr="00621B09">
              <w:rPr>
                <w:rFonts w:ascii="Arial" w:hAnsi="Arial" w:cs="Arial"/>
                <w:b/>
                <w:sz w:val="18"/>
                <w:szCs w:val="18"/>
              </w:rPr>
              <w:t>688.5</w:t>
            </w:r>
          </w:p>
        </w:tc>
        <w:tc>
          <w:tcPr>
            <w:tcW w:w="1018" w:type="dxa"/>
            <w:tcBorders>
              <w:bottom w:val="single" w:sz="4" w:space="0" w:color="auto"/>
            </w:tcBorders>
            <w:vAlign w:val="center"/>
          </w:tcPr>
          <w:p w:rsidR="00621B09" w:rsidRPr="00621B09" w:rsidRDefault="00621B09" w:rsidP="00621B09">
            <w:pPr>
              <w:jc w:val="center"/>
              <w:rPr>
                <w:rFonts w:ascii="Arial" w:hAnsi="Arial" w:cs="Arial"/>
                <w:b/>
                <w:sz w:val="18"/>
                <w:szCs w:val="18"/>
              </w:rPr>
            </w:pPr>
            <w:r w:rsidRPr="00621B09">
              <w:rPr>
                <w:rFonts w:ascii="Arial" w:hAnsi="Arial" w:cs="Arial"/>
                <w:sz w:val="18"/>
                <w:szCs w:val="18"/>
              </w:rPr>
              <w:t>3585.3</w:t>
            </w:r>
          </w:p>
        </w:tc>
      </w:tr>
    </w:tbl>
    <w:p w:rsidR="0055574E" w:rsidRDefault="0055574E" w:rsidP="00274CCF"/>
    <w:p w:rsidR="00197F48" w:rsidRDefault="00197F48" w:rsidP="00274CCF">
      <w:r w:rsidRPr="00E25099">
        <w:t xml:space="preserve">As explained in the introduction, the study period for the present report </w:t>
      </w:r>
      <w:r w:rsidR="00C23DCF">
        <w:t>extends</w:t>
      </w:r>
      <w:r w:rsidRPr="00E25099">
        <w:t xml:space="preserve"> from October 2018 to May 2019, instead of the entire WY 2019 (from October 2018 to September 2019). This is so because the operating conditions at GCD are exactly the same for the last four months of WY 2019 (from June 2019 to September 2019). </w:t>
      </w:r>
      <w:r w:rsidR="00C23DCF">
        <w:t>That is</w:t>
      </w:r>
      <w:r w:rsidRPr="00E25099">
        <w:t xml:space="preserve"> the monthly releases and hourly operating criteria </w:t>
      </w:r>
      <w:r w:rsidR="00C23DCF">
        <w:t>are</w:t>
      </w:r>
      <w:r w:rsidRPr="00E25099">
        <w:t xml:space="preserve"> </w:t>
      </w:r>
      <w:r w:rsidR="001739E1" w:rsidRPr="00E25099">
        <w:t>identical from June to September 2019</w:t>
      </w:r>
      <w:r w:rsidR="00C23DCF">
        <w:t xml:space="preserve"> and both</w:t>
      </w:r>
      <w:r w:rsidRPr="00E25099">
        <w:t xml:space="preserve"> Factual and Counterfactual cases </w:t>
      </w:r>
      <w:r w:rsidR="00C23DCF">
        <w:t xml:space="preserve">have </w:t>
      </w:r>
      <w:r w:rsidR="00ED479B">
        <w:t>identical</w:t>
      </w:r>
      <w:r w:rsidR="00C23DCF">
        <w:t xml:space="preserve"> monthly water release requirements</w:t>
      </w:r>
      <w:r w:rsidR="00ED479B">
        <w:t>, Furthermore,</w:t>
      </w:r>
      <w:r w:rsidR="00C23DCF">
        <w:t xml:space="preserve"> </w:t>
      </w:r>
      <w:r w:rsidRPr="00E25099">
        <w:t xml:space="preserve">Lake Powell </w:t>
      </w:r>
      <w:r w:rsidR="00ED479B">
        <w:t xml:space="preserve">water </w:t>
      </w:r>
      <w:r w:rsidRPr="00E25099">
        <w:t>elevation is</w:t>
      </w:r>
      <w:r w:rsidR="00ED479B">
        <w:t xml:space="preserve"> the same under both cases from June 1, 2019 and onward.</w:t>
      </w:r>
      <w:r w:rsidRPr="00E25099">
        <w:t xml:space="preserve">. Therefore, the </w:t>
      </w:r>
      <w:r w:rsidR="00480374" w:rsidRPr="00E25099">
        <w:t xml:space="preserve">operations at GCD are identical from June 2019 under all cases, and there is </w:t>
      </w:r>
      <w:r w:rsidR="001739E1" w:rsidRPr="00E25099">
        <w:t xml:space="preserve">no financial impact of the HFE </w:t>
      </w:r>
      <w:r w:rsidR="00ED479B">
        <w:t>during</w:t>
      </w:r>
      <w:r w:rsidR="00480374" w:rsidRPr="00E25099">
        <w:t xml:space="preserve"> the four last month</w:t>
      </w:r>
      <w:r w:rsidR="00ED479B">
        <w:t xml:space="preserve">s </w:t>
      </w:r>
      <w:r w:rsidR="00E25099">
        <w:t>of</w:t>
      </w:r>
      <w:r w:rsidR="00480374" w:rsidRPr="00E25099">
        <w:t xml:space="preserve"> WY 2019.</w:t>
      </w:r>
      <w:r w:rsidR="001739E1">
        <w:t xml:space="preserve"> </w:t>
      </w:r>
    </w:p>
    <w:p w:rsidR="00197F48" w:rsidRDefault="00197F48" w:rsidP="00274CCF"/>
    <w:p w:rsidR="00274CCF" w:rsidRDefault="00274CCF" w:rsidP="00274CCF">
      <w:r w:rsidRPr="008F1379">
        <w:t xml:space="preserve">It should be highlighted that the monthly water releases in the </w:t>
      </w:r>
      <w:r w:rsidR="00BA0A38">
        <w:t>Factual case</w:t>
      </w:r>
      <w:r w:rsidRPr="008F1379">
        <w:t xml:space="preserve"> correspond to those planned by Reclamation ahead of time, not those that actually occurred</w:t>
      </w:r>
      <w:r w:rsidR="002A6147">
        <w:t>;</w:t>
      </w:r>
      <w:r w:rsidRPr="008F1379">
        <w:t xml:space="preserve"> </w:t>
      </w:r>
      <w:r>
        <w:t>that is,</w:t>
      </w:r>
      <w:r w:rsidRPr="008F1379">
        <w:t xml:space="preserve"> historical releases. Historical monthly water releases were slightly different from the planned </w:t>
      </w:r>
      <w:r w:rsidRPr="003540CF">
        <w:t>releases as explained and described in Appendix A and graphed in Figure A.1.</w:t>
      </w:r>
      <w:r w:rsidRPr="008F1379">
        <w:t xml:space="preserve"> </w:t>
      </w:r>
      <w:r>
        <w:t xml:space="preserve"> Also, because monthly releases differed from actual levels, Lake Powell monthly reservoir elevations </w:t>
      </w:r>
      <w:r w:rsidR="00BA0A38">
        <w:t xml:space="preserve">in the Factual case </w:t>
      </w:r>
      <w:r>
        <w:t xml:space="preserve">were adjusted to reflect and be consistent with Reclamation planned monthly release volumes. </w:t>
      </w:r>
      <w:r w:rsidR="00EB1040">
        <w:t>As shown in Table 2.2</w:t>
      </w:r>
      <w:r w:rsidR="00621B09">
        <w:t>, a</w:t>
      </w:r>
      <w:r>
        <w:t xml:space="preserve">dditional reservoir elevation adjustments are made under the </w:t>
      </w:r>
      <w:r w:rsidR="0055574E">
        <w:t>three Counterfactual cases</w:t>
      </w:r>
      <w:r>
        <w:t xml:space="preserve"> to reflect monthly water release volume that differ from the </w:t>
      </w:r>
      <w:r w:rsidR="0055574E">
        <w:t>Factual case</w:t>
      </w:r>
      <w:r>
        <w:t xml:space="preserve">. </w:t>
      </w:r>
    </w:p>
    <w:p w:rsidR="00274CCF" w:rsidRPr="008F1379" w:rsidRDefault="00274CCF" w:rsidP="00274CCF"/>
    <w:p w:rsidR="00274CCF" w:rsidRDefault="00274CCF" w:rsidP="00274CCF">
      <w:r>
        <w:t>In addition to analyzing the financial cost of conducting the November 201</w:t>
      </w:r>
      <w:r w:rsidR="00621B09">
        <w:t>8</w:t>
      </w:r>
      <w:r>
        <w:t xml:space="preserve"> HFE using the </w:t>
      </w:r>
      <w:r w:rsidRPr="008F1379">
        <w:t>“planned”</w:t>
      </w:r>
      <w:r>
        <w:t xml:space="preserve"> monthly water releases shown above, a second </w:t>
      </w:r>
      <w:r w:rsidR="00621B09">
        <w:t>analysis was performed based on</w:t>
      </w:r>
      <w:r>
        <w:t xml:space="preserve"> actual water releases under the </w:t>
      </w:r>
      <w:r w:rsidR="00621B09">
        <w:t>Factual case</w:t>
      </w:r>
      <w:r w:rsidR="008640C9">
        <w:t xml:space="preserve"> and </w:t>
      </w:r>
      <w:r>
        <w:t xml:space="preserve">planned water releases differences shown in Table 2.2. This analysis and results are also presented in </w:t>
      </w:r>
      <w:r w:rsidRPr="008F1379">
        <w:t>Appendix A</w:t>
      </w:r>
      <w:r>
        <w:t>. T</w:t>
      </w:r>
      <w:r w:rsidRPr="008F1379">
        <w:t xml:space="preserve">he </w:t>
      </w:r>
      <w:r>
        <w:t xml:space="preserve">estimated </w:t>
      </w:r>
      <w:r w:rsidRPr="008F1379">
        <w:t xml:space="preserve">cost of the HFE experiment </w:t>
      </w:r>
      <w:r>
        <w:t xml:space="preserve">using the “actual” monthly water releases </w:t>
      </w:r>
      <w:r w:rsidR="00621B09">
        <w:t>is</w:t>
      </w:r>
      <w:r>
        <w:t xml:space="preserve"> very </w:t>
      </w:r>
      <w:r w:rsidRPr="008F1379">
        <w:t>similar</w:t>
      </w:r>
      <w:r w:rsidR="00621B09">
        <w:t xml:space="preserve"> to the estimated cost</w:t>
      </w:r>
      <w:r>
        <w:t xml:space="preserve"> using the planned releases.</w:t>
      </w:r>
    </w:p>
    <w:p w:rsidR="009F1C34" w:rsidRDefault="009F1C34" w:rsidP="00EE6FB9"/>
    <w:p w:rsidR="00142282" w:rsidRPr="00E25099" w:rsidRDefault="00142282" w:rsidP="00142282">
      <w:pPr>
        <w:pStyle w:val="Heading2"/>
        <w:jc w:val="left"/>
        <w:rPr>
          <w:sz w:val="24"/>
          <w:szCs w:val="24"/>
        </w:rPr>
      </w:pPr>
      <w:bookmarkStart w:id="20" w:name="_Toc19196962"/>
      <w:r w:rsidRPr="00E25099">
        <w:rPr>
          <w:sz w:val="24"/>
          <w:szCs w:val="24"/>
        </w:rPr>
        <w:t>Montrose scheduling guidelines</w:t>
      </w:r>
      <w:bookmarkEnd w:id="20"/>
    </w:p>
    <w:p w:rsidR="00142282" w:rsidRDefault="00142282" w:rsidP="00EE6FB9"/>
    <w:p w:rsidR="001A6720" w:rsidRPr="001A6720" w:rsidRDefault="001A6720" w:rsidP="001A6720">
      <w:r w:rsidRPr="001A6720">
        <w:t xml:space="preserve">The actual hourly scheduling of SLCA/IP hydropower plant operations is performed by the WAPA Energy Management and Marketing Office (EMMO) in Montrose, Colorado. Schedulers base their decisions on a set of scheduling priorities and guidelines, including a directive to comply with environmental operating criteria. The GCD restrictions shown in Table 2.1 describe operational boundaries. Within these limitations there are innumerable hourly release patterns and dispatch drivers that comply with a given set of operating criteria. Thus, although the operational range was significantly wider prior to the 1996 ROD, a broad range of GCD ROD-compliant operational regimes still exists. Other SLCA/IP power plants must also comply with various operational limitations. For example, </w:t>
      </w:r>
      <w:bookmarkStart w:id="21" w:name="_Hlk215994042"/>
      <w:r w:rsidRPr="00BB38D3">
        <w:t xml:space="preserve">Flaming Gorge releases are patterned such that downstream flow rates are within Jensen Gage flow limits (Reclamation 2006). In addition, releases from the Wayne N. Aspinall </w:t>
      </w:r>
      <w:r w:rsidR="00621169">
        <w:t>Reservoirs</w:t>
      </w:r>
      <w:r w:rsidR="00621169" w:rsidRPr="00BB38D3">
        <w:t xml:space="preserve"> </w:t>
      </w:r>
      <w:r w:rsidR="00621169">
        <w:t xml:space="preserve">must comply with </w:t>
      </w:r>
      <w:r w:rsidRPr="00BB38D3">
        <w:t>(1) a specified range of forebay elevation l</w:t>
      </w:r>
      <w:r w:rsidR="00621169">
        <w:t>imits</w:t>
      </w:r>
      <w:r w:rsidRPr="00BB38D3">
        <w:t xml:space="preserve"> and (2) limits on decreases in reservoir elevations </w:t>
      </w:r>
      <w:bookmarkEnd w:id="21"/>
      <w:r w:rsidRPr="00BB38D3">
        <w:t>over time (Reclamation 2012).</w:t>
      </w:r>
    </w:p>
    <w:p w:rsidR="001A6720" w:rsidRPr="001A6720" w:rsidRDefault="001A6720" w:rsidP="001A6720"/>
    <w:p w:rsidR="001A6720" w:rsidRPr="001A6720" w:rsidRDefault="001A6720" w:rsidP="001A6720">
      <w:r w:rsidRPr="001A6720">
        <w:rPr>
          <w:bCs/>
        </w:rPr>
        <w:t xml:space="preserve">As operational constraints were imposed on SLCA/IP resources, including those at the GCD, Powerplant scheduling guidelines and goals shifted from a model driven primarily by market prices to one driven by Firm Electric Service (FES) customer loads. Within the boundaries of these operating constraints, SLCA/IP power resources are used to serve firm load. </w:t>
      </w:r>
      <w:r w:rsidR="00621169">
        <w:rPr>
          <w:bCs/>
        </w:rPr>
        <w:t xml:space="preserve">Also, </w:t>
      </w:r>
      <w:r w:rsidR="00621169">
        <w:t>t</w:t>
      </w:r>
      <w:r w:rsidR="00621169" w:rsidRPr="001A6720">
        <w:t>o minimize exposure to real-time price spikes and volatility</w:t>
      </w:r>
      <w:r w:rsidR="00621169">
        <w:t>,</w:t>
      </w:r>
      <w:r w:rsidR="00621169" w:rsidRPr="001A6720">
        <w:rPr>
          <w:bCs/>
        </w:rPr>
        <w:t xml:space="preserve"> </w:t>
      </w:r>
      <w:r w:rsidRPr="001A6720">
        <w:rPr>
          <w:bCs/>
        </w:rPr>
        <w:t xml:space="preserve">WAPA places a high priority on </w:t>
      </w:r>
      <w:r w:rsidRPr="001A6720">
        <w:t xml:space="preserve">purchasing </w:t>
      </w:r>
      <w:r w:rsidR="00621169">
        <w:t xml:space="preserve">energy in the day-ahead bilateral market </w:t>
      </w:r>
      <w:r w:rsidRPr="001A6720">
        <w:t xml:space="preserve">to serve load in 16-hour, on-peak blocks, and in 8-hour, off-peak blocks . Under energy long-positions WAPA also sells blocks of power on the day-ahead bilateral market.  </w:t>
      </w:r>
    </w:p>
    <w:p w:rsidR="001A6720" w:rsidRPr="001A6720" w:rsidRDefault="001A6720" w:rsidP="001A6720"/>
    <w:p w:rsidR="001A6720" w:rsidRDefault="001A6720" w:rsidP="001A6720">
      <w:r w:rsidRPr="001A6720">
        <w:t xml:space="preserve">As illustrated in Figure 2.1, when hydropower resources are short of load, SLCA/IP generation resources are typically “stacked” on top of the block purchases as a means of following FES customer load. Because of operational limitations, WAPA staff may need </w:t>
      </w:r>
      <w:r w:rsidR="00F03B3D">
        <w:t xml:space="preserve">to </w:t>
      </w:r>
      <w:r w:rsidRPr="001A6720">
        <w:t xml:space="preserve">either purchase or sell varying amounts of energy on an hourly basis </w:t>
      </w:r>
      <w:r w:rsidR="00F03B3D">
        <w:t>in the</w:t>
      </w:r>
      <w:r w:rsidRPr="001A6720">
        <w:t xml:space="preserve"> real-time market. </w:t>
      </w:r>
    </w:p>
    <w:p w:rsidR="00617B4B" w:rsidRPr="001A6720" w:rsidRDefault="00617B4B" w:rsidP="001A6720">
      <w:r>
        <w:rPr>
          <w:noProof/>
        </w:rPr>
        <mc:AlternateContent>
          <mc:Choice Requires="wps">
            <w:drawing>
              <wp:anchor distT="0" distB="0" distL="114300" distR="114300" simplePos="0" relativeHeight="251663360" behindDoc="0" locked="0" layoutInCell="1" allowOverlap="1" wp14:anchorId="0A6A2F55" wp14:editId="75CD0F61">
                <wp:simplePos x="0" y="0"/>
                <wp:positionH relativeFrom="column">
                  <wp:posOffset>0</wp:posOffset>
                </wp:positionH>
                <wp:positionV relativeFrom="paragraph">
                  <wp:posOffset>3700780</wp:posOffset>
                </wp:positionV>
                <wp:extent cx="594360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E25099" w:rsidRPr="007A100A" w:rsidRDefault="00E25099" w:rsidP="00617B4B">
                            <w:pPr>
                              <w:pStyle w:val="Caption"/>
                              <w:jc w:val="center"/>
                            </w:pPr>
                            <w:bookmarkStart w:id="22" w:name="_Toc19196926"/>
                            <w:r w:rsidRPr="00E25099">
                              <w:t xml:space="preserve">Figure </w:t>
                            </w:r>
                            <w:r w:rsidR="00CE27EE">
                              <w:rPr>
                                <w:noProof/>
                              </w:rPr>
                              <w:fldChar w:fldCharType="begin"/>
                            </w:r>
                            <w:r w:rsidR="00CE27EE">
                              <w:rPr>
                                <w:noProof/>
                              </w:rPr>
                              <w:instrText xml:space="preserve"> STYLEREF 1 \s </w:instrText>
                            </w:r>
                            <w:r w:rsidR="00CE27EE">
                              <w:rPr>
                                <w:noProof/>
                              </w:rPr>
                              <w:fldChar w:fldCharType="separate"/>
                            </w:r>
                            <w:r w:rsidRPr="00E25099">
                              <w:rPr>
                                <w:noProof/>
                              </w:rPr>
                              <w:t>2</w:t>
                            </w:r>
                            <w:r w:rsidR="00CE27EE">
                              <w:rPr>
                                <w:noProof/>
                              </w:rPr>
                              <w:fldChar w:fldCharType="end"/>
                            </w:r>
                            <w:r w:rsidRPr="00E25099">
                              <w:noBreakHyphen/>
                            </w:r>
                            <w:r w:rsidR="00CE27EE">
                              <w:rPr>
                                <w:noProof/>
                              </w:rPr>
                              <w:fldChar w:fldCharType="begin"/>
                            </w:r>
                            <w:r w:rsidR="00CE27EE">
                              <w:rPr>
                                <w:noProof/>
                              </w:rPr>
                              <w:instrText xml:space="preserve"> SEQ Figure \* ARABIC \s 1 </w:instrText>
                            </w:r>
                            <w:r w:rsidR="00CE27EE">
                              <w:rPr>
                                <w:noProof/>
                              </w:rPr>
                              <w:fldChar w:fldCharType="separate"/>
                            </w:r>
                            <w:r w:rsidRPr="00E25099">
                              <w:rPr>
                                <w:noProof/>
                              </w:rPr>
                              <w:t>1</w:t>
                            </w:r>
                            <w:r w:rsidR="00CE27EE">
                              <w:rPr>
                                <w:noProof/>
                              </w:rPr>
                              <w:fldChar w:fldCharType="end"/>
                            </w:r>
                            <w:r w:rsidRPr="00E25099">
                              <w:t xml:space="preserve"> Illustration of the firm-load-driven dispatch guideline </w:t>
                            </w:r>
                            <w:r w:rsidRPr="00E25099">
                              <w:br/>
                              <w:t>when SLCA/IP resources are short of load</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A6A2F55" id="_x0000_t202" coordsize="21600,21600" o:spt="202" path="m,l,21600r21600,l21600,xe">
                <v:stroke joinstyle="miter"/>
                <v:path gradientshapeok="t" o:connecttype="rect"/>
              </v:shapetype>
              <v:shape id="Text Box 1" o:spid="_x0000_s1026" type="#_x0000_t202" style="position:absolute;left:0;text-align:left;margin-left:0;margin-top:291.4pt;width:468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" stroked="f">
                <v:textbox style="mso-fit-shape-to-text:t" inset="0,0,0,0">
                  <w:txbxContent>
                    <w:p w:rsidR="00E25099" w:rsidRPr="007A100A" w:rsidRDefault="00E25099" w:rsidP="00617B4B">
                      <w:pPr>
                        <w:pStyle w:val="Caption"/>
                        <w:jc w:val="center"/>
                      </w:pPr>
                      <w:bookmarkStart w:id="23" w:name="_Toc19196926"/>
                      <w:r w:rsidRPr="00E25099">
                        <w:t xml:space="preserve">Figure </w:t>
                      </w:r>
                      <w:fldSimple w:instr=" STYLEREF 1 \s ">
                        <w:r w:rsidRPr="00E25099">
                          <w:rPr>
                            <w:noProof/>
                          </w:rPr>
                          <w:t>2</w:t>
                        </w:r>
                      </w:fldSimple>
                      <w:r w:rsidRPr="00E25099">
                        <w:noBreakHyphen/>
                      </w:r>
                      <w:fldSimple w:instr=" SEQ Figure \* ARABIC \s 1 ">
                        <w:r w:rsidRPr="00E25099">
                          <w:rPr>
                            <w:noProof/>
                          </w:rPr>
                          <w:t>1</w:t>
                        </w:r>
                      </w:fldSimple>
                      <w:r w:rsidRPr="00E25099">
                        <w:t xml:space="preserve"> Illustration of the firm-load-driven dispatch guideline </w:t>
                      </w:r>
                      <w:r w:rsidRPr="00E25099">
                        <w:br/>
                        <w:t>when SLCA/IP resources are short of load</w:t>
                      </w:r>
                      <w:bookmarkEnd w:id="23"/>
                    </w:p>
                  </w:txbxContent>
                </v:textbox>
                <w10:wrap type="topAndBottom"/>
              </v:shape>
            </w:pict>
          </mc:Fallback>
        </mc:AlternateContent>
      </w:r>
      <w:r w:rsidRPr="00AB3FB6">
        <w:rPr>
          <w:noProof/>
        </w:rPr>
        <w:drawing>
          <wp:anchor distT="0" distB="0" distL="114300" distR="114300" simplePos="0" relativeHeight="251661312" behindDoc="0" locked="0" layoutInCell="1" allowOverlap="1" wp14:anchorId="33093E59" wp14:editId="04A9A05F">
            <wp:simplePos x="0" y="0"/>
            <wp:positionH relativeFrom="column">
              <wp:posOffset>0</wp:posOffset>
            </wp:positionH>
            <wp:positionV relativeFrom="paragraph">
              <wp:posOffset>182245</wp:posOffset>
            </wp:positionV>
            <wp:extent cx="5943600" cy="3461385"/>
            <wp:effectExtent l="0" t="0" r="0" b="5715"/>
            <wp:wrapTopAndBottom/>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3461385"/>
                    </a:xfrm>
                    <a:prstGeom prst="rect">
                      <a:avLst/>
                    </a:prstGeom>
                    <a:noFill/>
                    <a:ln w="9525">
                      <a:noFill/>
                      <a:miter lim="800000"/>
                      <a:headEnd/>
                      <a:tailEnd/>
                    </a:ln>
                  </pic:spPr>
                </pic:pic>
              </a:graphicData>
            </a:graphic>
          </wp:anchor>
        </w:drawing>
      </w:r>
    </w:p>
    <w:p w:rsidR="001A6720" w:rsidRPr="001A6720" w:rsidRDefault="001A6720" w:rsidP="001A6720"/>
    <w:p w:rsidR="001A6720" w:rsidRPr="001A6720" w:rsidRDefault="001A6720" w:rsidP="001A6720">
      <w:r w:rsidRPr="001A6720">
        <w:t xml:space="preserve">In other </w:t>
      </w:r>
      <w:r w:rsidR="0015724C" w:rsidRPr="001A6720">
        <w:t>situations,</w:t>
      </w:r>
      <w:r w:rsidR="0015724C">
        <w:t xml:space="preserve"> </w:t>
      </w:r>
      <w:r w:rsidRPr="001A6720">
        <w:t xml:space="preserve">market sales can sometimes be significant when SLCA/IP resource generation exceeds firm load. For example, during the off-peak-load hours of the HFE, the GCD Powerplant was operating at full available capacity, while at the same time, firm customer requests for power were relatively </w:t>
      </w:r>
      <w:r w:rsidRPr="00242DDE">
        <w:t>low. During this period, day-ahead sales during off</w:t>
      </w:r>
      <w:r w:rsidRPr="00242DDE">
        <w:noBreakHyphen/>
        <w:t xml:space="preserve">peak hours were as high as </w:t>
      </w:r>
      <w:r w:rsidR="00242DDE" w:rsidRPr="00242DDE">
        <w:t>400</w:t>
      </w:r>
      <w:r w:rsidRPr="00242DDE">
        <w:t xml:space="preserve"> megawatt-hours (MWh).</w:t>
      </w:r>
    </w:p>
    <w:p w:rsidR="001A6720" w:rsidRPr="001A6720" w:rsidRDefault="001A6720" w:rsidP="001A6720"/>
    <w:p w:rsidR="001A6720" w:rsidRPr="001A6720" w:rsidRDefault="00617B4B" w:rsidP="001A6720">
      <w:r>
        <w:t xml:space="preserve">The </w:t>
      </w:r>
      <w:r w:rsidR="00B76444">
        <w:t>GTMax SL</w:t>
      </w:r>
      <w:r w:rsidR="001A6720" w:rsidRPr="001A6720">
        <w:t xml:space="preserve"> model logic/methodology and inputs are designed to mimic EMMO guidelines in terms of serving FES customer loads and the selling of power in energy-long positions. The model, however, does not simulate WAPA’s extensive transmission system and the use of transmission pathways to engage in varies activities such as firm transmission line sales, power exchanges with Salt River Projects, and real-time energy arbitrage activities in which WAPA buys energy at one point in the grid and sells it at another point at a higher price. </w:t>
      </w:r>
    </w:p>
    <w:p w:rsidR="001A6720" w:rsidRPr="001A6720" w:rsidRDefault="001A6720" w:rsidP="001A6720"/>
    <w:p w:rsidR="001A6720" w:rsidRPr="001A6720" w:rsidRDefault="001A6720" w:rsidP="001A6720">
      <w:r w:rsidRPr="001A6720">
        <w:t xml:space="preserve">The load-following objective </w:t>
      </w:r>
      <w:r w:rsidR="0015724C">
        <w:t>creates a</w:t>
      </w:r>
      <w:r w:rsidRPr="001A6720">
        <w:t xml:space="preserve"> linkage between WAPA’s FES contractual obligations to its customers and SLCA/IP operations</w:t>
      </w:r>
      <w:r w:rsidR="0015724C">
        <w:t xml:space="preserve"> because it necessitates that the</w:t>
      </w:r>
      <w:r w:rsidRPr="001A6720">
        <w:t xml:space="preserve"> dispatch among SLCA/IP power plants to be closely coordinated. This interdependency exists because loads and hydropower resources are balanced whenever feasible. WAPA is able to affect the shape of customer firm load requests indirectly through specifications in its contract amendments. In turn, </w:t>
      </w:r>
      <w:r w:rsidR="0015724C">
        <w:t>FES</w:t>
      </w:r>
      <w:r w:rsidRPr="001A6720">
        <w:t xml:space="preserve"> customer loads affect both SCLA/IP power plant operations and hourly reservoir releases. Contract terms that indirectly affect load and power plant operations include sustainable hydropower (SHP) and available hydropower (AHP) capacity and energy sales, as well as Minimum Schedule Requirement (MSR) specifications. The MSR is the minimum amount of energy that a customer must schedule from WAPA in each hour. The load-following dispatch directive minimizes scheduling problems and helps WAPA avoid noncompliant water releases.</w:t>
      </w:r>
    </w:p>
    <w:p w:rsidR="00142282" w:rsidRDefault="00142282" w:rsidP="00EE6FB9"/>
    <w:p w:rsidR="00234131" w:rsidRDefault="00234131" w:rsidP="00234131">
      <w:r w:rsidRPr="00AB3FB6">
        <w:t>In addition to load</w:t>
      </w:r>
      <w:r>
        <w:t>-</w:t>
      </w:r>
      <w:r w:rsidRPr="00AB3FB6">
        <w:t>following, dispatchers follow other practices specific to GCD Powerplant operations. These practices fall within ROD operational boundaries</w:t>
      </w:r>
      <w:r w:rsidR="0015724C">
        <w:t>,</w:t>
      </w:r>
      <w:r w:rsidRPr="00AB3FB6">
        <w:t xml:space="preserve"> but are not ROD requirements. Therefore, </w:t>
      </w:r>
      <w:r>
        <w:t xml:space="preserve">WAPA may alter or abandon </w:t>
      </w:r>
      <w:r w:rsidRPr="00AB3FB6">
        <w:t>these institutional practices</w:t>
      </w:r>
      <w:r>
        <w:t xml:space="preserve"> </w:t>
      </w:r>
      <w:r w:rsidRPr="00AB3FB6">
        <w:t xml:space="preserve">at any time. One practice involves reducing generation at </w:t>
      </w:r>
      <w:r>
        <w:t>GCD</w:t>
      </w:r>
      <w:r w:rsidRPr="00AB3FB6">
        <w:t xml:space="preserve"> to the same minimum level every day during low-price, off-peak hours. </w:t>
      </w:r>
      <w:r>
        <w:t>WAPA</w:t>
      </w:r>
      <w:r w:rsidRPr="00AB3FB6">
        <w:t xml:space="preserve"> also avoids drastic changes to total water volume releases when they occur over successive days. In this analysis, </w:t>
      </w:r>
      <w:r>
        <w:t xml:space="preserve">therefore, </w:t>
      </w:r>
      <w:r w:rsidRPr="00AB3FB6">
        <w:t>it was assumed that the same volume of water was released each weekday</w:t>
      </w:r>
      <w:r w:rsidR="0015724C">
        <w:t>.  This operational practice however is not followed</w:t>
      </w:r>
      <w:r>
        <w:t xml:space="preserve"> during the HFE </w:t>
      </w:r>
      <w:r w:rsidR="0015724C">
        <w:t xml:space="preserve">under the </w:t>
      </w:r>
      <w:r>
        <w:t>Factual case (with HFE)</w:t>
      </w:r>
      <w:r w:rsidRPr="00AB3FB6">
        <w:t>.</w:t>
      </w:r>
    </w:p>
    <w:p w:rsidR="00234131" w:rsidRPr="00AB3FB6" w:rsidRDefault="00234131" w:rsidP="00234131"/>
    <w:p w:rsidR="00234131" w:rsidRDefault="00234131" w:rsidP="00234131">
      <w:r w:rsidRPr="00AB3FB6">
        <w:t xml:space="preserve">Another </w:t>
      </w:r>
      <w:r>
        <w:t>WAPA</w:t>
      </w:r>
      <w:r w:rsidRPr="00AB3FB6">
        <w:t xml:space="preserve"> scheduling practice was observed </w:t>
      </w:r>
      <w:r>
        <w:t xml:space="preserve">during the examination of historical </w:t>
      </w:r>
      <w:r w:rsidRPr="00AB3FB6">
        <w:t xml:space="preserve">water releases </w:t>
      </w:r>
      <w:r>
        <w:t>shown in the CRSP daily Loads and Resource (L&amp;R) preschedule sheets. O</w:t>
      </w:r>
      <w:r w:rsidRPr="00AB3FB6">
        <w:t xml:space="preserve">n both Saturdays and Sundays </w:t>
      </w:r>
      <w:r>
        <w:t>during WY 2019,</w:t>
      </w:r>
      <w:r w:rsidRPr="00AB3FB6">
        <w:t xml:space="preserve"> </w:t>
      </w:r>
      <w:r>
        <w:t>Saturday</w:t>
      </w:r>
      <w:r w:rsidRPr="00AB3FB6">
        <w:t xml:space="preserve"> releases </w:t>
      </w:r>
      <w:r>
        <w:t>we</w:t>
      </w:r>
      <w:r w:rsidRPr="00AB3FB6">
        <w:t xml:space="preserve">re generally not less than </w:t>
      </w:r>
      <w:r>
        <w:t>90%</w:t>
      </w:r>
      <w:r w:rsidRPr="00AB3FB6">
        <w:t xml:space="preserve"> of the average weekday release</w:t>
      </w:r>
      <w:r>
        <w:t xml:space="preserve">, whereas Sunday </w:t>
      </w:r>
      <w:r w:rsidRPr="00AB3FB6">
        <w:t xml:space="preserve">releases </w:t>
      </w:r>
      <w:r>
        <w:t>we</w:t>
      </w:r>
      <w:r w:rsidRPr="00AB3FB6">
        <w:t>re generally not less than</w:t>
      </w:r>
      <w:r>
        <w:t xml:space="preserve"> 85% of the weekday release. This was true for all the months of WY 2019 except for November, when the HFE occurred. During November, </w:t>
      </w:r>
      <w:r w:rsidR="006A6C7E">
        <w:t xml:space="preserve">outside of the four days of high release (from November 5 to November 8) </w:t>
      </w:r>
      <w:r>
        <w:t xml:space="preserve">weekend </w:t>
      </w:r>
      <w:r w:rsidRPr="00242DDE">
        <w:t>release volumes (in both Saturday and Sunday) were generally the same as weekday release volumes. In addition, during the summer season (from May to November), operations allow one cycle of raising and lowering GCD Powerplant output per day. This practice increases to a maximum of two cycles during other seasons of the year (from December to April) as dictated by the hourly load pattern.</w:t>
      </w:r>
    </w:p>
    <w:p w:rsidR="00234131" w:rsidRPr="00AB3FB6" w:rsidRDefault="00234131" w:rsidP="00234131"/>
    <w:p w:rsidR="00E66BB6" w:rsidRDefault="00234131" w:rsidP="00234131">
      <w:r w:rsidRPr="00AB3FB6">
        <w:t xml:space="preserve">Changes in </w:t>
      </w:r>
      <w:r>
        <w:t>WAPA’</w:t>
      </w:r>
      <w:r w:rsidRPr="00AB3FB6">
        <w:t>s scheduling guidelines did not occur abruptly</w:t>
      </w:r>
      <w:r>
        <w:t>,</w:t>
      </w:r>
      <w:r w:rsidRPr="00AB3FB6">
        <w:t xml:space="preserve"> but </w:t>
      </w:r>
      <w:r>
        <w:t xml:space="preserve">rather </w:t>
      </w:r>
      <w:r w:rsidRPr="00AB3FB6">
        <w:t>subtly</w:t>
      </w:r>
      <w:r>
        <w:t>,</w:t>
      </w:r>
      <w:r w:rsidRPr="00AB3FB6">
        <w:t xml:space="preserve"> and over a period of months. These changes were not only </w:t>
      </w:r>
      <w:r>
        <w:t xml:space="preserve">the result of the </w:t>
      </w:r>
      <w:r w:rsidRPr="00AB3FB6">
        <w:t>operational constraints imposed by the ROD</w:t>
      </w:r>
      <w:r w:rsidR="00CA799E">
        <w:t>,</w:t>
      </w:r>
      <w:r w:rsidRPr="00AB3FB6">
        <w:t xml:space="preserve"> but also </w:t>
      </w:r>
      <w:r>
        <w:t xml:space="preserve">attributable </w:t>
      </w:r>
      <w:r w:rsidR="00CA799E">
        <w:t>several factors such as c</w:t>
      </w:r>
      <w:r w:rsidRPr="00AB3FB6">
        <w:t>hanging market conditions</w:t>
      </w:r>
      <w:r>
        <w:t>,</w:t>
      </w:r>
      <w:r w:rsidRPr="00AB3FB6">
        <w:t xml:space="preserve"> persistent drought, electricity market disruptions </w:t>
      </w:r>
      <w:r w:rsidR="00CA799E">
        <w:t xml:space="preserve">(e.g., </w:t>
      </w:r>
      <w:r>
        <w:t xml:space="preserve">WY </w:t>
      </w:r>
      <w:r w:rsidRPr="00AB3FB6">
        <w:t xml:space="preserve">2000 and </w:t>
      </w:r>
      <w:r>
        <w:t xml:space="preserve">WY </w:t>
      </w:r>
      <w:r w:rsidRPr="00AB3FB6">
        <w:t>2001</w:t>
      </w:r>
      <w:r w:rsidR="00CA799E">
        <w:t xml:space="preserve"> California Energy Crisis)</w:t>
      </w:r>
      <w:r w:rsidRPr="00AB3FB6">
        <w:t xml:space="preserve">, and extended experimental releases </w:t>
      </w:r>
      <w:r>
        <w:t xml:space="preserve">with </w:t>
      </w:r>
      <w:r w:rsidRPr="00AB3FB6">
        <w:t xml:space="preserve">large </w:t>
      </w:r>
      <w:r>
        <w:t xml:space="preserve">fluctuations in </w:t>
      </w:r>
      <w:r w:rsidRPr="00AB3FB6">
        <w:t xml:space="preserve">daily flow rate. </w:t>
      </w:r>
      <w:r>
        <w:t xml:space="preserve">WAPA found that by </w:t>
      </w:r>
      <w:r w:rsidRPr="00242DDE">
        <w:t xml:space="preserve">instituting load-following dispatch, it could better control its exposure and risk to market price fluctuations (Palmer 2010). New scheduling guidelines were implemented </w:t>
      </w:r>
      <w:r w:rsidR="00CA799E">
        <w:t>beginning in</w:t>
      </w:r>
      <w:r w:rsidR="00CA799E" w:rsidRPr="00242DDE">
        <w:t xml:space="preserve"> </w:t>
      </w:r>
      <w:r w:rsidRPr="00242DDE">
        <w:t>WY 2001</w:t>
      </w:r>
      <w:r w:rsidR="00CA799E">
        <w:t xml:space="preserve"> and with some modifications continue to be practiced up to the present day.</w:t>
      </w:r>
    </w:p>
    <w:p w:rsidR="00ED6A40" w:rsidRDefault="00ED6A40" w:rsidP="00234131"/>
    <w:p w:rsidR="00ED6A40" w:rsidRDefault="00ED6A40" w:rsidP="00234131"/>
    <w:p w:rsidR="00E66BB6" w:rsidRDefault="00E66BB6">
      <w:pPr>
        <w:spacing w:line="240" w:lineRule="auto"/>
        <w:jc w:val="left"/>
      </w:pPr>
      <w:r>
        <w:br w:type="page"/>
      </w:r>
    </w:p>
    <w:p w:rsidR="007C01A5" w:rsidRDefault="007C01A5" w:rsidP="007C01A5">
      <w:pPr>
        <w:pStyle w:val="Heading1"/>
        <w:ind w:left="360" w:hanging="360"/>
        <w:jc w:val="left"/>
        <w:rPr>
          <w:bCs/>
        </w:rPr>
      </w:pPr>
      <w:bookmarkStart w:id="23" w:name="_Toc19196963"/>
      <w:r w:rsidRPr="007C01A5">
        <w:rPr>
          <w:bCs/>
        </w:rPr>
        <w:t>Description of Experimental Releases</w:t>
      </w:r>
      <w:bookmarkEnd w:id="23"/>
    </w:p>
    <w:p w:rsidR="007C01A5" w:rsidRDefault="007C01A5" w:rsidP="00234131"/>
    <w:p w:rsidR="00ED6A40" w:rsidRDefault="003F7821" w:rsidP="00234131">
      <w:r w:rsidRPr="00E25099">
        <w:t>Two experiments were conducted during WY</w:t>
      </w:r>
      <w:r w:rsidR="00CA799E">
        <w:t xml:space="preserve"> </w:t>
      </w:r>
      <w:r w:rsidRPr="00E25099">
        <w:t xml:space="preserve">2019: an HFE and a </w:t>
      </w:r>
      <w:r w:rsidR="00CA799E">
        <w:t>B</w:t>
      </w:r>
      <w:r w:rsidRPr="00E25099">
        <w:t xml:space="preserve">ug </w:t>
      </w:r>
      <w:r w:rsidR="00CA799E">
        <w:t>F</w:t>
      </w:r>
      <w:r w:rsidRPr="00E25099">
        <w:t>low experiment.</w:t>
      </w:r>
      <w:r w:rsidR="002C1ED6" w:rsidRPr="00E25099">
        <w:t xml:space="preserve"> This report</w:t>
      </w:r>
      <w:r w:rsidR="001747B4" w:rsidRPr="00E25099">
        <w:t xml:space="preserve"> only</w:t>
      </w:r>
      <w:r w:rsidR="002C1ED6" w:rsidRPr="00E25099">
        <w:t xml:space="preserve"> focuses on the </w:t>
      </w:r>
      <w:r w:rsidR="001747B4" w:rsidRPr="00E25099">
        <w:t>financial analysis of the HFE.</w:t>
      </w:r>
    </w:p>
    <w:p w:rsidR="00ED6A40" w:rsidRDefault="00ED6A40" w:rsidP="00234131"/>
    <w:p w:rsidR="00ED6A40" w:rsidRDefault="00ED6A40" w:rsidP="00ED6A40">
      <w:pPr>
        <w:pStyle w:val="Heading2"/>
        <w:jc w:val="left"/>
        <w:rPr>
          <w:sz w:val="24"/>
          <w:szCs w:val="24"/>
        </w:rPr>
      </w:pPr>
      <w:bookmarkStart w:id="24" w:name="_Toc19196964"/>
      <w:r>
        <w:rPr>
          <w:sz w:val="24"/>
          <w:szCs w:val="24"/>
        </w:rPr>
        <w:t>HFE</w:t>
      </w:r>
      <w:bookmarkEnd w:id="24"/>
    </w:p>
    <w:p w:rsidR="00ED6A40" w:rsidRDefault="00ED6A40" w:rsidP="00234131"/>
    <w:p w:rsidR="007C01A5" w:rsidRDefault="007C01A5" w:rsidP="007C01A5">
      <w:r>
        <w:t xml:space="preserve">This section describes </w:t>
      </w:r>
      <w:r w:rsidR="00CA799E">
        <w:t>when the WY 2019 HFE occurred and its characteristics</w:t>
      </w:r>
      <w:r w:rsidR="00AE03BD">
        <w:t xml:space="preserve"> (e.g.,</w:t>
      </w:r>
      <w:r w:rsidR="00CA799E">
        <w:t xml:space="preserve"> hourly </w:t>
      </w:r>
      <w:r>
        <w:t>release</w:t>
      </w:r>
      <w:r w:rsidR="00CA799E">
        <w:t xml:space="preserve"> pattern</w:t>
      </w:r>
      <w:r w:rsidR="00AE03BD">
        <w:t>)</w:t>
      </w:r>
      <w:r>
        <w:t xml:space="preserve">. Table 3.1 summarizes the operational characteristics of GCD releases during </w:t>
      </w:r>
      <w:r w:rsidR="00AE03BD">
        <w:t>the HFE in terms of</w:t>
      </w:r>
      <w:r>
        <w:t xml:space="preserve"> maximum and minimum flow</w:t>
      </w:r>
      <w:r w:rsidR="00792CAF">
        <w:t xml:space="preserve"> rate constraints</w:t>
      </w:r>
      <w:r>
        <w:t>, maximum daily fluctuation</w:t>
      </w:r>
      <w:r w:rsidR="00792CAF">
        <w:t xml:space="preserve"> limits</w:t>
      </w:r>
      <w:r>
        <w:t>, and maximum and minimum ramp rate</w:t>
      </w:r>
      <w:r w:rsidR="00792CAF">
        <w:t xml:space="preserve"> restrictions</w:t>
      </w:r>
      <w:r>
        <w:t>.</w:t>
      </w:r>
    </w:p>
    <w:p w:rsidR="00EA7E22" w:rsidRDefault="00EA7E22">
      <w:pPr>
        <w:spacing w:line="240" w:lineRule="auto"/>
        <w:jc w:val="left"/>
      </w:pPr>
    </w:p>
    <w:p w:rsidR="009E5AB2" w:rsidRDefault="009E5AB2" w:rsidP="009E5AB2">
      <w:pPr>
        <w:pStyle w:val="Caption"/>
        <w:keepNext/>
        <w:jc w:val="center"/>
      </w:pPr>
      <w:bookmarkStart w:id="25" w:name="_Toc19196921"/>
      <w:r>
        <w:t xml:space="preserve">Table </w:t>
      </w:r>
      <w:r w:rsidR="00CE27EE">
        <w:rPr>
          <w:noProof/>
        </w:rPr>
        <w:fldChar w:fldCharType="begin"/>
      </w:r>
      <w:r w:rsidR="00CE27EE">
        <w:rPr>
          <w:noProof/>
        </w:rPr>
        <w:instrText xml:space="preserve"> STYLEREF 1 \s </w:instrText>
      </w:r>
      <w:r w:rsidR="00CE27EE">
        <w:rPr>
          <w:noProof/>
        </w:rPr>
        <w:fldChar w:fldCharType="separate"/>
      </w:r>
      <w:r w:rsidR="00C44BB9">
        <w:rPr>
          <w:noProof/>
        </w:rPr>
        <w:t>3</w:t>
      </w:r>
      <w:r w:rsidR="00CE27EE">
        <w:rPr>
          <w:noProof/>
        </w:rPr>
        <w:fldChar w:fldCharType="end"/>
      </w:r>
      <w:r w:rsidR="00C44BB9">
        <w:noBreakHyphen/>
      </w:r>
      <w:r w:rsidR="00CE27EE">
        <w:rPr>
          <w:noProof/>
        </w:rPr>
        <w:fldChar w:fldCharType="begin"/>
      </w:r>
      <w:r w:rsidR="00CE27EE">
        <w:rPr>
          <w:noProof/>
        </w:rPr>
        <w:instrText xml:space="preserve"> SEQ Table \* ARABIC \s 1 </w:instrText>
      </w:r>
      <w:r w:rsidR="00CE27EE">
        <w:rPr>
          <w:noProof/>
        </w:rPr>
        <w:fldChar w:fldCharType="separate"/>
      </w:r>
      <w:r w:rsidR="00C44BB9">
        <w:rPr>
          <w:noProof/>
        </w:rPr>
        <w:t>1</w:t>
      </w:r>
      <w:r w:rsidR="00CE27EE">
        <w:rPr>
          <w:noProof/>
        </w:rPr>
        <w:fldChar w:fldCharType="end"/>
      </w:r>
      <w:r>
        <w:t xml:space="preserve"> </w:t>
      </w:r>
      <w:r w:rsidRPr="009E5AB2">
        <w:t xml:space="preserve">Characteristics of </w:t>
      </w:r>
      <w:r>
        <w:t xml:space="preserve">the </w:t>
      </w:r>
      <w:r w:rsidRPr="009E5AB2">
        <w:t>GCD Powerplant experimental release</w:t>
      </w:r>
      <w:bookmarkEnd w:id="25"/>
    </w:p>
    <w:tbl>
      <w:tblPr>
        <w:tblW w:w="9302" w:type="dxa"/>
        <w:tblInd w:w="58" w:type="dxa"/>
        <w:tblLayout w:type="fixed"/>
        <w:tblCellMar>
          <w:left w:w="58" w:type="dxa"/>
          <w:right w:w="58" w:type="dxa"/>
        </w:tblCellMar>
        <w:tblLook w:val="04A0" w:firstRow="1" w:lastRow="0" w:firstColumn="1" w:lastColumn="0" w:noHBand="0" w:noVBand="1"/>
      </w:tblPr>
      <w:tblGrid>
        <w:gridCol w:w="720"/>
        <w:gridCol w:w="1170"/>
        <w:gridCol w:w="900"/>
        <w:gridCol w:w="720"/>
        <w:gridCol w:w="1053"/>
        <w:gridCol w:w="1022"/>
        <w:gridCol w:w="1233"/>
        <w:gridCol w:w="1198"/>
        <w:gridCol w:w="1286"/>
      </w:tblGrid>
      <w:tr w:rsidR="007C01A5" w:rsidRPr="00C2028E" w:rsidTr="009E5AB2">
        <w:trPr>
          <w:trHeight w:val="900"/>
          <w:tblHeader/>
        </w:trPr>
        <w:tc>
          <w:tcPr>
            <w:tcW w:w="720" w:type="dxa"/>
            <w:tcBorders>
              <w:top w:val="single" w:sz="4" w:space="0" w:color="auto"/>
              <w:bottom w:val="single" w:sz="4" w:space="0" w:color="auto"/>
            </w:tcBorders>
            <w:shd w:val="clear" w:color="auto" w:fill="auto"/>
            <w:vAlign w:val="bottom"/>
          </w:tcPr>
          <w:p w:rsidR="007C01A5" w:rsidRPr="00C2028E" w:rsidRDefault="007C01A5" w:rsidP="009E5AB2">
            <w:pPr>
              <w:jc w:val="center"/>
              <w:rPr>
                <w:rFonts w:ascii="Arial" w:hAnsi="Arial" w:cs="Arial"/>
                <w:bCs/>
                <w:sz w:val="18"/>
                <w:szCs w:val="18"/>
                <w:vertAlign w:val="superscript"/>
              </w:rPr>
            </w:pPr>
            <w:r w:rsidRPr="00C2028E">
              <w:rPr>
                <w:rFonts w:ascii="Arial" w:hAnsi="Arial" w:cs="Arial"/>
                <w:sz w:val="18"/>
                <w:szCs w:val="18"/>
              </w:rPr>
              <w:br w:type="page"/>
            </w:r>
            <w:r w:rsidRPr="00C2028E">
              <w:rPr>
                <w:rFonts w:ascii="Arial" w:hAnsi="Arial" w:cs="Arial"/>
                <w:sz w:val="18"/>
                <w:szCs w:val="18"/>
              </w:rPr>
              <w:br w:type="page"/>
            </w:r>
            <w:r w:rsidRPr="00C2028E">
              <w:rPr>
                <w:rFonts w:ascii="Arial" w:hAnsi="Arial" w:cs="Arial"/>
                <w:bCs/>
                <w:sz w:val="18"/>
                <w:szCs w:val="18"/>
              </w:rPr>
              <w:t>Event</w:t>
            </w:r>
          </w:p>
        </w:tc>
        <w:tc>
          <w:tcPr>
            <w:tcW w:w="1170" w:type="dxa"/>
            <w:tcBorders>
              <w:top w:val="single" w:sz="4" w:space="0" w:color="auto"/>
              <w:bottom w:val="single" w:sz="4" w:space="0" w:color="auto"/>
            </w:tcBorders>
            <w:shd w:val="clear" w:color="auto" w:fill="auto"/>
            <w:vAlign w:val="bottom"/>
          </w:tcPr>
          <w:p w:rsidR="007C01A5" w:rsidRPr="00C2028E" w:rsidRDefault="007C01A5" w:rsidP="009E5AB2">
            <w:pPr>
              <w:jc w:val="center"/>
              <w:rPr>
                <w:rFonts w:ascii="Arial" w:hAnsi="Arial" w:cs="Arial"/>
                <w:bCs/>
                <w:sz w:val="18"/>
                <w:szCs w:val="18"/>
              </w:rPr>
            </w:pPr>
            <w:r w:rsidRPr="00C2028E">
              <w:rPr>
                <w:rFonts w:ascii="Arial" w:hAnsi="Arial" w:cs="Arial"/>
                <w:bCs/>
                <w:sz w:val="18"/>
                <w:szCs w:val="18"/>
              </w:rPr>
              <w:t>Date</w:t>
            </w:r>
          </w:p>
        </w:tc>
        <w:tc>
          <w:tcPr>
            <w:tcW w:w="900" w:type="dxa"/>
            <w:tcBorders>
              <w:top w:val="single" w:sz="4" w:space="0" w:color="auto"/>
              <w:bottom w:val="single" w:sz="4" w:space="0" w:color="auto"/>
            </w:tcBorders>
            <w:shd w:val="clear" w:color="auto" w:fill="auto"/>
            <w:vAlign w:val="bottom"/>
          </w:tcPr>
          <w:p w:rsidR="007C01A5" w:rsidRPr="00C2028E" w:rsidRDefault="007C01A5" w:rsidP="009E5AB2">
            <w:pPr>
              <w:jc w:val="center"/>
              <w:rPr>
                <w:rFonts w:ascii="Arial" w:hAnsi="Arial" w:cs="Arial"/>
                <w:bCs/>
                <w:sz w:val="18"/>
                <w:szCs w:val="18"/>
              </w:rPr>
            </w:pPr>
            <w:r w:rsidRPr="00C2028E">
              <w:rPr>
                <w:rFonts w:ascii="Arial" w:hAnsi="Arial" w:cs="Arial"/>
                <w:bCs/>
                <w:sz w:val="18"/>
                <w:szCs w:val="18"/>
              </w:rPr>
              <w:t>Maxi-mum Flow (cfs)</w:t>
            </w:r>
          </w:p>
        </w:tc>
        <w:tc>
          <w:tcPr>
            <w:tcW w:w="720" w:type="dxa"/>
            <w:tcBorders>
              <w:top w:val="single" w:sz="4" w:space="0" w:color="auto"/>
              <w:bottom w:val="single" w:sz="4" w:space="0" w:color="auto"/>
            </w:tcBorders>
            <w:shd w:val="clear" w:color="auto" w:fill="auto"/>
            <w:vAlign w:val="bottom"/>
          </w:tcPr>
          <w:p w:rsidR="007C01A5" w:rsidRPr="00C2028E" w:rsidRDefault="007C01A5" w:rsidP="009E5AB2">
            <w:pPr>
              <w:jc w:val="center"/>
              <w:rPr>
                <w:rFonts w:ascii="Arial" w:hAnsi="Arial" w:cs="Arial"/>
                <w:bCs/>
                <w:sz w:val="18"/>
                <w:szCs w:val="18"/>
              </w:rPr>
            </w:pPr>
            <w:r w:rsidRPr="00C2028E">
              <w:rPr>
                <w:rFonts w:ascii="Arial" w:hAnsi="Arial" w:cs="Arial"/>
                <w:bCs/>
                <w:sz w:val="18"/>
                <w:szCs w:val="18"/>
              </w:rPr>
              <w:t>Mini-mum Flow (cfs)</w:t>
            </w:r>
          </w:p>
        </w:tc>
        <w:tc>
          <w:tcPr>
            <w:tcW w:w="1053" w:type="dxa"/>
            <w:tcBorders>
              <w:top w:val="single" w:sz="4" w:space="0" w:color="auto"/>
              <w:bottom w:val="single" w:sz="4" w:space="0" w:color="auto"/>
            </w:tcBorders>
            <w:shd w:val="clear" w:color="auto" w:fill="auto"/>
            <w:vAlign w:val="bottom"/>
          </w:tcPr>
          <w:p w:rsidR="007C01A5" w:rsidRPr="00C2028E" w:rsidRDefault="007C01A5" w:rsidP="009E5AB2">
            <w:pPr>
              <w:jc w:val="center"/>
              <w:rPr>
                <w:rFonts w:ascii="Arial" w:hAnsi="Arial" w:cs="Arial"/>
                <w:bCs/>
                <w:sz w:val="18"/>
                <w:szCs w:val="18"/>
              </w:rPr>
            </w:pPr>
            <w:r w:rsidRPr="00C2028E">
              <w:rPr>
                <w:rFonts w:ascii="Arial" w:hAnsi="Arial" w:cs="Arial"/>
                <w:bCs/>
                <w:sz w:val="18"/>
                <w:szCs w:val="18"/>
              </w:rPr>
              <w:t>Maximum Hourly</w:t>
            </w:r>
            <w:r w:rsidRPr="00C2028E">
              <w:rPr>
                <w:rFonts w:ascii="Arial" w:hAnsi="Arial" w:cs="Arial"/>
                <w:bCs/>
                <w:sz w:val="18"/>
                <w:szCs w:val="18"/>
              </w:rPr>
              <w:br/>
              <w:t>Up-Ramp Rate (cfs/hr)</w:t>
            </w:r>
          </w:p>
        </w:tc>
        <w:tc>
          <w:tcPr>
            <w:tcW w:w="1022" w:type="dxa"/>
            <w:tcBorders>
              <w:top w:val="single" w:sz="4" w:space="0" w:color="auto"/>
              <w:bottom w:val="single" w:sz="4" w:space="0" w:color="auto"/>
            </w:tcBorders>
            <w:shd w:val="clear" w:color="auto" w:fill="auto"/>
            <w:vAlign w:val="bottom"/>
          </w:tcPr>
          <w:p w:rsidR="007C01A5" w:rsidRPr="00C2028E" w:rsidRDefault="007C01A5" w:rsidP="009E5AB2">
            <w:pPr>
              <w:jc w:val="center"/>
              <w:rPr>
                <w:rFonts w:ascii="Arial" w:hAnsi="Arial" w:cs="Arial"/>
                <w:bCs/>
                <w:sz w:val="18"/>
                <w:szCs w:val="18"/>
              </w:rPr>
            </w:pPr>
          </w:p>
          <w:p w:rsidR="007C01A5" w:rsidRPr="00C2028E" w:rsidRDefault="007C01A5" w:rsidP="009E5AB2">
            <w:pPr>
              <w:jc w:val="center"/>
              <w:rPr>
                <w:rFonts w:ascii="Arial" w:hAnsi="Arial" w:cs="Arial"/>
                <w:bCs/>
                <w:sz w:val="18"/>
                <w:szCs w:val="18"/>
              </w:rPr>
            </w:pPr>
            <w:r w:rsidRPr="00C2028E">
              <w:rPr>
                <w:rFonts w:ascii="Arial" w:hAnsi="Arial" w:cs="Arial"/>
                <w:bCs/>
                <w:sz w:val="18"/>
                <w:szCs w:val="18"/>
              </w:rPr>
              <w:t>Maximum Hourly Down-Ramp Rate (cfs/hr)</w:t>
            </w:r>
          </w:p>
        </w:tc>
        <w:tc>
          <w:tcPr>
            <w:tcW w:w="1233" w:type="dxa"/>
            <w:tcBorders>
              <w:top w:val="single" w:sz="4" w:space="0" w:color="auto"/>
              <w:bottom w:val="single" w:sz="4" w:space="0" w:color="auto"/>
            </w:tcBorders>
            <w:shd w:val="clear" w:color="auto" w:fill="auto"/>
            <w:vAlign w:val="bottom"/>
          </w:tcPr>
          <w:p w:rsidR="007C01A5" w:rsidRPr="00C2028E" w:rsidRDefault="007C01A5" w:rsidP="009E5AB2">
            <w:pPr>
              <w:jc w:val="center"/>
              <w:rPr>
                <w:rFonts w:ascii="Arial" w:hAnsi="Arial" w:cs="Arial"/>
                <w:bCs/>
                <w:sz w:val="18"/>
                <w:szCs w:val="18"/>
              </w:rPr>
            </w:pPr>
            <w:r w:rsidRPr="00C2028E">
              <w:rPr>
                <w:rFonts w:ascii="Arial" w:hAnsi="Arial" w:cs="Arial"/>
                <w:bCs/>
                <w:sz w:val="18"/>
                <w:szCs w:val="18"/>
              </w:rPr>
              <w:t>Maximum Daily Fluctuation (cfs/day)</w:t>
            </w:r>
          </w:p>
        </w:tc>
        <w:tc>
          <w:tcPr>
            <w:tcW w:w="1198" w:type="dxa"/>
            <w:tcBorders>
              <w:top w:val="single" w:sz="4" w:space="0" w:color="auto"/>
              <w:bottom w:val="single" w:sz="4" w:space="0" w:color="auto"/>
            </w:tcBorders>
            <w:vAlign w:val="bottom"/>
          </w:tcPr>
          <w:p w:rsidR="007C01A5" w:rsidRPr="00C2028E" w:rsidRDefault="007C01A5" w:rsidP="009E5AB2">
            <w:pPr>
              <w:jc w:val="center"/>
              <w:rPr>
                <w:rFonts w:ascii="Arial" w:hAnsi="Arial" w:cs="Arial"/>
                <w:bCs/>
                <w:sz w:val="18"/>
                <w:szCs w:val="18"/>
              </w:rPr>
            </w:pPr>
            <w:r w:rsidRPr="00C2028E">
              <w:rPr>
                <w:rFonts w:ascii="Arial" w:hAnsi="Arial" w:cs="Arial"/>
                <w:bCs/>
                <w:sz w:val="18"/>
                <w:szCs w:val="18"/>
              </w:rPr>
              <w:t>Water Reallocated within Year</w:t>
            </w:r>
          </w:p>
        </w:tc>
        <w:tc>
          <w:tcPr>
            <w:tcW w:w="1286" w:type="dxa"/>
            <w:tcBorders>
              <w:top w:val="single" w:sz="4" w:space="0" w:color="auto"/>
              <w:bottom w:val="single" w:sz="4" w:space="0" w:color="auto"/>
            </w:tcBorders>
            <w:shd w:val="clear" w:color="auto" w:fill="auto"/>
            <w:vAlign w:val="bottom"/>
          </w:tcPr>
          <w:p w:rsidR="007C01A5" w:rsidRPr="00C2028E" w:rsidRDefault="007C01A5" w:rsidP="009E5AB2">
            <w:pPr>
              <w:jc w:val="center"/>
              <w:rPr>
                <w:rFonts w:ascii="Arial" w:hAnsi="Arial" w:cs="Arial"/>
                <w:bCs/>
                <w:sz w:val="18"/>
                <w:szCs w:val="18"/>
              </w:rPr>
            </w:pPr>
            <w:r w:rsidRPr="00C2028E">
              <w:rPr>
                <w:rFonts w:ascii="Arial" w:hAnsi="Arial" w:cs="Arial"/>
                <w:bCs/>
                <w:sz w:val="18"/>
                <w:szCs w:val="18"/>
              </w:rPr>
              <w:t xml:space="preserve">Exception to </w:t>
            </w:r>
            <w:r>
              <w:rPr>
                <w:rFonts w:ascii="Arial" w:hAnsi="Arial" w:cs="Arial"/>
                <w:bCs/>
                <w:sz w:val="18"/>
                <w:szCs w:val="18"/>
              </w:rPr>
              <w:t xml:space="preserve">2016 </w:t>
            </w:r>
            <w:r w:rsidRPr="00C2028E">
              <w:rPr>
                <w:rFonts w:ascii="Arial" w:hAnsi="Arial" w:cs="Arial"/>
                <w:bCs/>
                <w:sz w:val="18"/>
                <w:szCs w:val="18"/>
              </w:rPr>
              <w:t>ROD Criteria</w:t>
            </w:r>
          </w:p>
        </w:tc>
      </w:tr>
      <w:tr w:rsidR="007C01A5" w:rsidRPr="003F12BC" w:rsidTr="009E5AB2">
        <w:trPr>
          <w:trHeight w:val="540"/>
        </w:trPr>
        <w:tc>
          <w:tcPr>
            <w:tcW w:w="720" w:type="dxa"/>
            <w:tcBorders>
              <w:top w:val="single" w:sz="4" w:space="0" w:color="auto"/>
              <w:bottom w:val="single" w:sz="4" w:space="0" w:color="auto"/>
            </w:tcBorders>
            <w:shd w:val="clear" w:color="auto" w:fill="auto"/>
          </w:tcPr>
          <w:p w:rsidR="007C01A5" w:rsidRPr="00815F51" w:rsidRDefault="007C01A5" w:rsidP="009E5AB2">
            <w:pPr>
              <w:rPr>
                <w:rFonts w:ascii="Arial" w:hAnsi="Arial" w:cs="Arial"/>
                <w:sz w:val="18"/>
                <w:szCs w:val="18"/>
              </w:rPr>
            </w:pPr>
            <w:r w:rsidRPr="00815F51">
              <w:rPr>
                <w:rFonts w:ascii="Arial" w:hAnsi="Arial" w:cs="Arial"/>
                <w:sz w:val="18"/>
                <w:szCs w:val="18"/>
              </w:rPr>
              <w:t>HFE</w:t>
            </w:r>
          </w:p>
        </w:tc>
        <w:tc>
          <w:tcPr>
            <w:tcW w:w="1170" w:type="dxa"/>
            <w:tcBorders>
              <w:top w:val="single" w:sz="4" w:space="0" w:color="auto"/>
              <w:bottom w:val="single" w:sz="4" w:space="0" w:color="auto"/>
            </w:tcBorders>
            <w:shd w:val="clear" w:color="auto" w:fill="auto"/>
          </w:tcPr>
          <w:p w:rsidR="007C01A5" w:rsidRPr="00815F51" w:rsidRDefault="007C01A5" w:rsidP="007C01A5">
            <w:pPr>
              <w:ind w:left="-58" w:hanging="32"/>
              <w:rPr>
                <w:rFonts w:ascii="Arial" w:hAnsi="Arial" w:cs="Arial"/>
                <w:sz w:val="18"/>
                <w:szCs w:val="18"/>
              </w:rPr>
            </w:pPr>
            <w:r w:rsidRPr="00815F51">
              <w:rPr>
                <w:rFonts w:ascii="Arial" w:hAnsi="Arial" w:cs="Arial"/>
                <w:sz w:val="18"/>
                <w:szCs w:val="18"/>
              </w:rPr>
              <w:t>11/</w:t>
            </w:r>
            <w:r>
              <w:rPr>
                <w:rFonts w:ascii="Arial" w:hAnsi="Arial" w:cs="Arial"/>
                <w:sz w:val="18"/>
                <w:szCs w:val="18"/>
              </w:rPr>
              <w:t>5</w:t>
            </w:r>
            <w:r w:rsidRPr="00815F51">
              <w:rPr>
                <w:rFonts w:ascii="Arial" w:hAnsi="Arial" w:cs="Arial"/>
                <w:sz w:val="18"/>
                <w:szCs w:val="18"/>
              </w:rPr>
              <w:t>/201</w:t>
            </w:r>
            <w:r>
              <w:rPr>
                <w:rFonts w:ascii="Arial" w:hAnsi="Arial" w:cs="Arial"/>
                <w:sz w:val="18"/>
                <w:szCs w:val="18"/>
              </w:rPr>
              <w:t>8–</w:t>
            </w:r>
            <w:r w:rsidRPr="00826043">
              <w:rPr>
                <w:rFonts w:ascii="Arial" w:hAnsi="Arial" w:cs="Arial"/>
                <w:sz w:val="18"/>
                <w:szCs w:val="18"/>
              </w:rPr>
              <w:t>1</w:t>
            </w:r>
            <w:r>
              <w:rPr>
                <w:rFonts w:ascii="Arial" w:hAnsi="Arial" w:cs="Arial"/>
                <w:sz w:val="18"/>
                <w:szCs w:val="18"/>
              </w:rPr>
              <w:t>1</w:t>
            </w:r>
            <w:r w:rsidRPr="00826043">
              <w:rPr>
                <w:rFonts w:ascii="Arial" w:hAnsi="Arial" w:cs="Arial"/>
                <w:sz w:val="18"/>
                <w:szCs w:val="18"/>
              </w:rPr>
              <w:t>/</w:t>
            </w:r>
            <w:r>
              <w:rPr>
                <w:rFonts w:ascii="Arial" w:hAnsi="Arial" w:cs="Arial"/>
                <w:sz w:val="18"/>
                <w:szCs w:val="18"/>
              </w:rPr>
              <w:t>8</w:t>
            </w:r>
            <w:r w:rsidRPr="00826043">
              <w:rPr>
                <w:rFonts w:ascii="Arial" w:hAnsi="Arial" w:cs="Arial"/>
                <w:sz w:val="18"/>
                <w:szCs w:val="18"/>
              </w:rPr>
              <w:t>/201</w:t>
            </w:r>
            <w:r>
              <w:rPr>
                <w:rFonts w:ascii="Arial" w:hAnsi="Arial" w:cs="Arial"/>
                <w:sz w:val="18"/>
                <w:szCs w:val="18"/>
              </w:rPr>
              <w:t>8</w:t>
            </w:r>
          </w:p>
        </w:tc>
        <w:tc>
          <w:tcPr>
            <w:tcW w:w="900" w:type="dxa"/>
            <w:tcBorders>
              <w:top w:val="single" w:sz="4" w:space="0" w:color="auto"/>
              <w:bottom w:val="single" w:sz="4" w:space="0" w:color="auto"/>
            </w:tcBorders>
            <w:shd w:val="clear" w:color="auto" w:fill="auto"/>
            <w:noWrap/>
          </w:tcPr>
          <w:p w:rsidR="007C01A5" w:rsidRPr="00815F51" w:rsidRDefault="007C01A5" w:rsidP="009E5AB2">
            <w:pPr>
              <w:rPr>
                <w:rFonts w:ascii="Arial" w:hAnsi="Arial" w:cs="Arial"/>
                <w:sz w:val="18"/>
                <w:szCs w:val="18"/>
              </w:rPr>
            </w:pPr>
            <w:r>
              <w:rPr>
                <w:rFonts w:ascii="Arial" w:hAnsi="Arial" w:cs="Arial"/>
                <w:sz w:val="18"/>
                <w:szCs w:val="18"/>
              </w:rPr>
              <w:t>38,283</w:t>
            </w:r>
          </w:p>
        </w:tc>
        <w:tc>
          <w:tcPr>
            <w:tcW w:w="720" w:type="dxa"/>
            <w:tcBorders>
              <w:top w:val="single" w:sz="4" w:space="0" w:color="auto"/>
              <w:bottom w:val="single" w:sz="4" w:space="0" w:color="auto"/>
            </w:tcBorders>
            <w:shd w:val="clear" w:color="auto" w:fill="auto"/>
            <w:noWrap/>
          </w:tcPr>
          <w:p w:rsidR="007C01A5" w:rsidRPr="007C40EE" w:rsidRDefault="007C01A5" w:rsidP="007C01A5">
            <w:pPr>
              <w:rPr>
                <w:rFonts w:ascii="Arial" w:hAnsi="Arial" w:cs="Arial"/>
                <w:sz w:val="18"/>
                <w:szCs w:val="18"/>
              </w:rPr>
            </w:pPr>
            <w:r>
              <w:rPr>
                <w:rFonts w:ascii="Arial" w:hAnsi="Arial" w:cs="Arial"/>
                <w:sz w:val="18"/>
                <w:szCs w:val="18"/>
              </w:rPr>
              <w:t>6,671</w:t>
            </w:r>
          </w:p>
        </w:tc>
        <w:tc>
          <w:tcPr>
            <w:tcW w:w="1053" w:type="dxa"/>
            <w:tcBorders>
              <w:top w:val="single" w:sz="4" w:space="0" w:color="auto"/>
              <w:bottom w:val="single" w:sz="4" w:space="0" w:color="auto"/>
            </w:tcBorders>
            <w:shd w:val="clear" w:color="auto" w:fill="auto"/>
            <w:noWrap/>
          </w:tcPr>
          <w:p w:rsidR="007C01A5" w:rsidRPr="007C40EE" w:rsidRDefault="007C01A5" w:rsidP="007C01A5">
            <w:pPr>
              <w:rPr>
                <w:rFonts w:ascii="Arial" w:hAnsi="Arial" w:cs="Arial"/>
                <w:sz w:val="18"/>
                <w:szCs w:val="18"/>
              </w:rPr>
            </w:pPr>
            <w:r>
              <w:rPr>
                <w:rFonts w:ascii="Arial" w:hAnsi="Arial" w:cs="Arial"/>
                <w:sz w:val="18"/>
                <w:szCs w:val="18"/>
              </w:rPr>
              <w:t>4,206</w:t>
            </w:r>
          </w:p>
        </w:tc>
        <w:tc>
          <w:tcPr>
            <w:tcW w:w="1022" w:type="dxa"/>
            <w:tcBorders>
              <w:top w:val="single" w:sz="4" w:space="0" w:color="auto"/>
              <w:bottom w:val="single" w:sz="4" w:space="0" w:color="auto"/>
            </w:tcBorders>
            <w:shd w:val="clear" w:color="auto" w:fill="auto"/>
            <w:noWrap/>
          </w:tcPr>
          <w:p w:rsidR="007C01A5" w:rsidRPr="007C40EE" w:rsidRDefault="007C01A5" w:rsidP="009E5AB2">
            <w:pPr>
              <w:rPr>
                <w:rFonts w:ascii="Arial" w:hAnsi="Arial" w:cs="Arial"/>
                <w:sz w:val="18"/>
                <w:szCs w:val="18"/>
              </w:rPr>
            </w:pPr>
            <w:r>
              <w:rPr>
                <w:rFonts w:ascii="Arial" w:hAnsi="Arial" w:cs="Arial"/>
                <w:sz w:val="18"/>
                <w:szCs w:val="18"/>
              </w:rPr>
              <w:t>2,519</w:t>
            </w:r>
          </w:p>
        </w:tc>
        <w:tc>
          <w:tcPr>
            <w:tcW w:w="1233" w:type="dxa"/>
            <w:tcBorders>
              <w:top w:val="single" w:sz="4" w:space="0" w:color="auto"/>
              <w:bottom w:val="single" w:sz="4" w:space="0" w:color="auto"/>
            </w:tcBorders>
            <w:shd w:val="clear" w:color="auto" w:fill="auto"/>
            <w:noWrap/>
          </w:tcPr>
          <w:p w:rsidR="007C01A5" w:rsidRPr="007C40EE" w:rsidRDefault="007C01A5" w:rsidP="009E5AB2">
            <w:pPr>
              <w:rPr>
                <w:rFonts w:ascii="Arial" w:hAnsi="Arial" w:cs="Arial"/>
                <w:sz w:val="18"/>
                <w:szCs w:val="18"/>
              </w:rPr>
            </w:pPr>
            <w:r>
              <w:rPr>
                <w:rFonts w:ascii="Arial" w:hAnsi="Arial" w:cs="Arial"/>
                <w:sz w:val="18"/>
                <w:szCs w:val="18"/>
              </w:rPr>
              <w:t>31,612</w:t>
            </w:r>
          </w:p>
        </w:tc>
        <w:tc>
          <w:tcPr>
            <w:tcW w:w="1198" w:type="dxa"/>
            <w:tcBorders>
              <w:top w:val="single" w:sz="4" w:space="0" w:color="auto"/>
              <w:bottom w:val="single" w:sz="4" w:space="0" w:color="auto"/>
            </w:tcBorders>
          </w:tcPr>
          <w:p w:rsidR="007C01A5" w:rsidRPr="007C40EE" w:rsidRDefault="007C01A5" w:rsidP="009E5AB2">
            <w:pPr>
              <w:rPr>
                <w:rFonts w:ascii="Arial" w:hAnsi="Arial" w:cs="Arial"/>
                <w:sz w:val="18"/>
                <w:szCs w:val="18"/>
              </w:rPr>
            </w:pPr>
            <w:r w:rsidRPr="007C40EE">
              <w:rPr>
                <w:rFonts w:ascii="Arial" w:hAnsi="Arial" w:cs="Arial"/>
                <w:sz w:val="18"/>
                <w:szCs w:val="18"/>
              </w:rPr>
              <w:t xml:space="preserve">Yes </w:t>
            </w:r>
          </w:p>
        </w:tc>
        <w:tc>
          <w:tcPr>
            <w:tcW w:w="1286" w:type="dxa"/>
            <w:tcBorders>
              <w:top w:val="single" w:sz="4" w:space="0" w:color="auto"/>
              <w:bottom w:val="single" w:sz="4" w:space="0" w:color="auto"/>
            </w:tcBorders>
            <w:shd w:val="clear" w:color="auto" w:fill="auto"/>
          </w:tcPr>
          <w:p w:rsidR="007C01A5" w:rsidRPr="00815F51" w:rsidRDefault="007C01A5" w:rsidP="009E5AB2">
            <w:pPr>
              <w:rPr>
                <w:rFonts w:ascii="Arial" w:hAnsi="Arial" w:cs="Arial"/>
                <w:sz w:val="18"/>
                <w:szCs w:val="18"/>
              </w:rPr>
            </w:pPr>
            <w:r w:rsidRPr="00815F51">
              <w:rPr>
                <w:rFonts w:ascii="Arial" w:hAnsi="Arial" w:cs="Arial"/>
                <w:sz w:val="18"/>
                <w:szCs w:val="18"/>
              </w:rPr>
              <w:t>Yes</w:t>
            </w:r>
          </w:p>
        </w:tc>
      </w:tr>
    </w:tbl>
    <w:p w:rsidR="007C01A5" w:rsidRDefault="007C01A5">
      <w:pPr>
        <w:spacing w:line="240" w:lineRule="auto"/>
        <w:jc w:val="left"/>
      </w:pPr>
    </w:p>
    <w:p w:rsidR="00EA7E22" w:rsidRDefault="00EA7E22">
      <w:pPr>
        <w:spacing w:line="240" w:lineRule="auto"/>
        <w:jc w:val="left"/>
      </w:pPr>
    </w:p>
    <w:p w:rsidR="00A2253E" w:rsidRDefault="00A2253E" w:rsidP="00A2253E">
      <w:r w:rsidRPr="00131646">
        <w:t xml:space="preserve">The November 2018 HFE was conducted </w:t>
      </w:r>
      <w:r w:rsidR="00114C59">
        <w:t xml:space="preserve">in </w:t>
      </w:r>
      <w:r w:rsidRPr="00131646">
        <w:t>accord</w:t>
      </w:r>
      <w:r w:rsidR="00114C59">
        <w:t>ance with</w:t>
      </w:r>
      <w:r w:rsidRPr="00131646">
        <w:t xml:space="preserve"> the 10-year (2011–2020) </w:t>
      </w:r>
      <w:r w:rsidR="00114C59">
        <w:t xml:space="preserve">HFE </w:t>
      </w:r>
      <w:r w:rsidRPr="00131646">
        <w:t>protocol for short-duration, high</w:t>
      </w:r>
      <w:r w:rsidRPr="003E3F79">
        <w:t xml:space="preserve">-volume controlled releases from GCD during sediment-enriched conditions </w:t>
      </w:r>
      <w:r w:rsidRPr="00242DDE">
        <w:t>(Iseman 2016; Reclamation 2011). The</w:t>
      </w:r>
      <w:r>
        <w:t xml:space="preserve"> objective of this multiyear plan is to investigate how multiple events could be effective in building sandbars and conserving sand over long periods. As a sediment conservation measure, HFEs are intended to rebuild sandbars and beaches; improve the riparian resources and protect archaeological resources by building up sandbars and redepositing sand at higher elevations; preserve and restore camping beaches; reduce near-shore vegetation; and rejuvenate backwaters, which can be important rearing habitat for native fish.</w:t>
      </w:r>
    </w:p>
    <w:p w:rsidR="00A2253E" w:rsidRDefault="00A2253E" w:rsidP="00A2253E"/>
    <w:p w:rsidR="00A2253E" w:rsidRDefault="00A2253E" w:rsidP="00A2253E">
      <w:r w:rsidRPr="008C5BA1">
        <w:t xml:space="preserve">The HFE ran from </w:t>
      </w:r>
      <w:r>
        <w:t xml:space="preserve">Monday, </w:t>
      </w:r>
      <w:r w:rsidRPr="008C5BA1">
        <w:t xml:space="preserve">November </w:t>
      </w:r>
      <w:r>
        <w:t>5,</w:t>
      </w:r>
      <w:r w:rsidRPr="008C5BA1">
        <w:t xml:space="preserve"> to </w:t>
      </w:r>
      <w:r>
        <w:t>Thursday, November 8</w:t>
      </w:r>
      <w:r w:rsidRPr="00AA40A4">
        <w:t>. The total duration at high</w:t>
      </w:r>
      <w:r>
        <w:t xml:space="preserve"> flow was </w:t>
      </w:r>
      <w:r w:rsidR="00E72DCA">
        <w:t>80 hours</w:t>
      </w:r>
      <w:r w:rsidRPr="00AA40A4">
        <w:t xml:space="preserve">, with </w:t>
      </w:r>
      <w:r>
        <w:t>60 hours</w:t>
      </w:r>
      <w:r w:rsidRPr="00AA40A4">
        <w:t xml:space="preserve"> at a nominal peak release of 3</w:t>
      </w:r>
      <w:r>
        <w:t>8</w:t>
      </w:r>
      <w:r w:rsidRPr="00AA40A4">
        <w:t>,000 cfs. The flow rate exceeded the capability of the</w:t>
      </w:r>
      <w:r w:rsidR="00B1197A">
        <w:t xml:space="preserve"> Powerplant</w:t>
      </w:r>
      <w:r w:rsidRPr="00AA40A4">
        <w:t xml:space="preserve"> turbines for </w:t>
      </w:r>
      <w:r>
        <w:t>71</w:t>
      </w:r>
      <w:r w:rsidRPr="00AA40A4">
        <w:t xml:space="preserve"> h</w:t>
      </w:r>
      <w:r>
        <w:t>ou</w:t>
      </w:r>
      <w:r w:rsidRPr="00AA40A4">
        <w:t>r</w:t>
      </w:r>
      <w:r>
        <w:t>s</w:t>
      </w:r>
      <w:r w:rsidRPr="00AA40A4">
        <w:t>, with water released through the dam’s hollow jet tubes (river outlet works or bypass)</w:t>
      </w:r>
      <w:r>
        <w:t>,</w:t>
      </w:r>
      <w:r w:rsidRPr="00AA40A4">
        <w:t xml:space="preserve"> reaching </w:t>
      </w:r>
      <w:r>
        <w:t>a maximum of about</w:t>
      </w:r>
      <w:r w:rsidRPr="00AA40A4">
        <w:t xml:space="preserve"> </w:t>
      </w:r>
      <w:r>
        <w:t>14</w:t>
      </w:r>
      <w:r w:rsidRPr="00AA40A4">
        <w:t>,</w:t>
      </w:r>
      <w:r>
        <w:t>400 </w:t>
      </w:r>
      <w:r w:rsidRPr="00AA40A4">
        <w:t>cfs.</w:t>
      </w:r>
      <w:r w:rsidRPr="008C5BA1">
        <w:t xml:space="preserve"> No</w:t>
      </w:r>
      <w:r w:rsidRPr="002327CB">
        <w:t xml:space="preserve"> electricity was generated by the water released through the </w:t>
      </w:r>
      <w:r>
        <w:t>hollow jet</w:t>
      </w:r>
      <w:r w:rsidRPr="002327CB">
        <w:t xml:space="preserve"> tubes</w:t>
      </w:r>
      <w:r>
        <w:t>, which totaled 77 TAF</w:t>
      </w:r>
      <w:r w:rsidRPr="002327CB">
        <w:t xml:space="preserve">. </w:t>
      </w:r>
      <w:r>
        <w:t xml:space="preserve">During the HFE, the maximum </w:t>
      </w:r>
      <w:r w:rsidR="00E72DCA">
        <w:t>water flow through the turbines</w:t>
      </w:r>
      <w:r>
        <w:t xml:space="preserve"> was 23,9</w:t>
      </w:r>
      <w:r w:rsidR="00131646">
        <w:t>00</w:t>
      </w:r>
      <w:r>
        <w:t xml:space="preserve"> </w:t>
      </w:r>
      <w:r w:rsidRPr="00854CAA">
        <w:t>cfs</w:t>
      </w:r>
      <w:r w:rsidRPr="00203015">
        <w:t xml:space="preserve">. This release was less than </w:t>
      </w:r>
      <w:r w:rsidR="00E72DCA">
        <w:t xml:space="preserve">the </w:t>
      </w:r>
      <w:r w:rsidRPr="00203015">
        <w:t xml:space="preserve">power plant capacity because </w:t>
      </w:r>
      <w:r w:rsidR="00203015" w:rsidRPr="00203015">
        <w:t xml:space="preserve">one </w:t>
      </w:r>
      <w:r w:rsidR="00131646">
        <w:t xml:space="preserve">of the eight </w:t>
      </w:r>
      <w:r w:rsidR="00203015" w:rsidRPr="00203015">
        <w:t>unit</w:t>
      </w:r>
      <w:r w:rsidR="00131646">
        <w:t>s</w:t>
      </w:r>
      <w:r w:rsidRPr="00203015">
        <w:t xml:space="preserve"> </w:t>
      </w:r>
      <w:r w:rsidR="00203015" w:rsidRPr="00203015">
        <w:t>was</w:t>
      </w:r>
      <w:r w:rsidRPr="00203015">
        <w:t xml:space="preserve"> not operational due to a scheduled rotor repair.</w:t>
      </w:r>
      <w:r>
        <w:t xml:space="preserve"> </w:t>
      </w:r>
      <w:r w:rsidR="00B1197A">
        <w:t>In addition, the elevation at Lake Powell did not create sufficient hydraulic head for the seven operational turbines to reach each turbine’s maximum potential.</w:t>
      </w:r>
    </w:p>
    <w:p w:rsidR="00A2253E" w:rsidRDefault="00A2253E" w:rsidP="00A2253E"/>
    <w:p w:rsidR="009E5AB2" w:rsidRDefault="00A2253E" w:rsidP="009E5AB2">
      <w:r>
        <w:t>The flow pattern for the HFE is shown graphically in Figure 3.1. To compensate for HFE water release</w:t>
      </w:r>
      <w:r w:rsidR="00B1197A">
        <w:t xml:space="preserve"> requirements</w:t>
      </w:r>
      <w:r>
        <w:t xml:space="preserve">, the daily water releases during the non-HFE days in November 2018 </w:t>
      </w:r>
      <w:r w:rsidRPr="009E5AB2">
        <w:t>were cut back to approximately 6,</w:t>
      </w:r>
      <w:r w:rsidR="009E5AB2" w:rsidRPr="009E5AB2">
        <w:t>700 cfs in hours 1 to 4 and 22 to 24</w:t>
      </w:r>
      <w:r w:rsidRPr="009E5AB2">
        <w:t>,</w:t>
      </w:r>
      <w:r w:rsidR="009E5AB2" w:rsidRPr="009E5AB2">
        <w:t xml:space="preserve"> and 9,000 cfs in hours 6 to 21</w:t>
      </w:r>
      <w:r>
        <w:t xml:space="preserve">. During November 2018, the hourly profile was the same for both weekends and weekdays. </w:t>
      </w:r>
      <w:r w:rsidRPr="002327CB">
        <w:t xml:space="preserve">So that </w:t>
      </w:r>
      <w:r w:rsidR="00131646">
        <w:rPr>
          <w:noProof/>
        </w:rPr>
        <mc:AlternateContent>
          <mc:Choice Requires="wps">
            <w:drawing>
              <wp:anchor distT="0" distB="0" distL="114300" distR="114300" simplePos="0" relativeHeight="251666432" behindDoc="0" locked="0" layoutInCell="1" allowOverlap="1" wp14:anchorId="2165BD5C" wp14:editId="63632D4F">
                <wp:simplePos x="0" y="0"/>
                <wp:positionH relativeFrom="column">
                  <wp:posOffset>52705</wp:posOffset>
                </wp:positionH>
                <wp:positionV relativeFrom="paragraph">
                  <wp:posOffset>2874573</wp:posOffset>
                </wp:positionV>
                <wp:extent cx="5866765" cy="635"/>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5866765" cy="635"/>
                        </a:xfrm>
                        <a:prstGeom prst="rect">
                          <a:avLst/>
                        </a:prstGeom>
                        <a:solidFill>
                          <a:prstClr val="white"/>
                        </a:solidFill>
                        <a:ln>
                          <a:noFill/>
                        </a:ln>
                      </wps:spPr>
                      <wps:txbx>
                        <w:txbxContent>
                          <w:p w:rsidR="00E25099" w:rsidRPr="00974961" w:rsidRDefault="00E25099" w:rsidP="00A63AB2">
                            <w:pPr>
                              <w:pStyle w:val="Caption"/>
                              <w:jc w:val="center"/>
                            </w:pPr>
                            <w:bookmarkStart w:id="26" w:name="_Toc19196927"/>
                            <w:r>
                              <w:t xml:space="preserve">Figure </w:t>
                            </w:r>
                            <w:r w:rsidR="00CE27EE">
                              <w:rPr>
                                <w:noProof/>
                              </w:rPr>
                              <w:fldChar w:fldCharType="begin"/>
                            </w:r>
                            <w:r w:rsidR="00CE27EE">
                              <w:rPr>
                                <w:noProof/>
                              </w:rPr>
                              <w:instrText xml:space="preserve"> STYLEREF 1 \s </w:instrText>
                            </w:r>
                            <w:r w:rsidR="00CE27EE">
                              <w:rPr>
                                <w:noProof/>
                              </w:rPr>
                              <w:fldChar w:fldCharType="separate"/>
                            </w:r>
                            <w:r>
                              <w:rPr>
                                <w:noProof/>
                              </w:rPr>
                              <w:t>3</w:t>
                            </w:r>
                            <w:r w:rsidR="00CE27EE">
                              <w:rPr>
                                <w:noProof/>
                              </w:rPr>
                              <w:fldChar w:fldCharType="end"/>
                            </w:r>
                            <w:r>
                              <w:noBreakHyphen/>
                            </w:r>
                            <w:r w:rsidR="00CE27EE">
                              <w:rPr>
                                <w:noProof/>
                              </w:rPr>
                              <w:fldChar w:fldCharType="begin"/>
                            </w:r>
                            <w:r w:rsidR="00CE27EE">
                              <w:rPr>
                                <w:noProof/>
                              </w:rPr>
                              <w:instrText xml:space="preserve"> SEQ Figure \* ARABIC \s 1 </w:instrText>
                            </w:r>
                            <w:r w:rsidR="00CE27EE">
                              <w:rPr>
                                <w:noProof/>
                              </w:rPr>
                              <w:fldChar w:fldCharType="separate"/>
                            </w:r>
                            <w:r>
                              <w:rPr>
                                <w:noProof/>
                              </w:rPr>
                              <w:t>1</w:t>
                            </w:r>
                            <w:r w:rsidR="00CE27EE">
                              <w:rPr>
                                <w:noProof/>
                              </w:rPr>
                              <w:fldChar w:fldCharType="end"/>
                            </w:r>
                            <w:r>
                              <w:t xml:space="preserve"> </w:t>
                            </w:r>
                            <w:r w:rsidRPr="00A63AB2">
                              <w:t>Release pattern of th</w:t>
                            </w:r>
                            <w:r>
                              <w:t>e HFE conducted in November, 5-8, 2018</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165BD5C" id="Text Box 11" o:spid="_x0000_s1027" type="#_x0000_t202" style="position:absolute;left:0;text-align:left;margin-left:4.15pt;margin-top:226.35pt;width:461.9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" stroked="f">
                <v:textbox style="mso-fit-shape-to-text:t" inset="0,0,0,0">
                  <w:txbxContent>
                    <w:p w:rsidR="00E25099" w:rsidRPr="00974961" w:rsidRDefault="00E25099" w:rsidP="00A63AB2">
                      <w:pPr>
                        <w:pStyle w:val="Caption"/>
                        <w:jc w:val="center"/>
                      </w:pPr>
                      <w:bookmarkStart w:id="28" w:name="_Toc19196927"/>
                      <w:r>
                        <w:t xml:space="preserve">Figure </w:t>
                      </w:r>
                      <w:fldSimple w:instr=" STYLEREF 1 \s ">
                        <w:r>
                          <w:rPr>
                            <w:noProof/>
                          </w:rPr>
                          <w:t>3</w:t>
                        </w:r>
                      </w:fldSimple>
                      <w:r>
                        <w:noBreakHyphen/>
                      </w:r>
                      <w:fldSimple w:instr=" SEQ Figure \* ARABIC \s 1 ">
                        <w:r>
                          <w:rPr>
                            <w:noProof/>
                          </w:rPr>
                          <w:t>1</w:t>
                        </w:r>
                      </w:fldSimple>
                      <w:r>
                        <w:t xml:space="preserve"> </w:t>
                      </w:r>
                      <w:r w:rsidRPr="00A63AB2">
                        <w:t>Release pattern of th</w:t>
                      </w:r>
                      <w:r>
                        <w:t>e HFE conducted in November, 5-8, 2018</w:t>
                      </w:r>
                      <w:bookmarkEnd w:id="28"/>
                    </w:p>
                  </w:txbxContent>
                </v:textbox>
                <w10:wrap type="topAndBottom"/>
              </v:shape>
            </w:pict>
          </mc:Fallback>
        </mc:AlternateContent>
      </w:r>
      <w:r w:rsidR="00131646" w:rsidRPr="00A63AB2">
        <w:rPr>
          <w:noProof/>
        </w:rPr>
        <w:drawing>
          <wp:anchor distT="0" distB="0" distL="114300" distR="114300" simplePos="0" relativeHeight="251664384" behindDoc="0" locked="0" layoutInCell="1" allowOverlap="1" wp14:anchorId="20F82D82" wp14:editId="36AFB924">
            <wp:simplePos x="0" y="0"/>
            <wp:positionH relativeFrom="column">
              <wp:posOffset>53975</wp:posOffset>
            </wp:positionH>
            <wp:positionV relativeFrom="paragraph">
              <wp:posOffset>263</wp:posOffset>
            </wp:positionV>
            <wp:extent cx="5866765" cy="2874645"/>
            <wp:effectExtent l="0" t="0" r="0" b="0"/>
            <wp:wrapTopAndBottom/>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rotWithShape="1">
                    <a:blip r:embed="rId30">
                      <a:extLst>
                        <a:ext uri="{28A0092B-C50C-407E-A947-70E740481C1C}">
                          <a14:useLocalDpi xmlns:a14="http://schemas.microsoft.com/office/drawing/2010/main" val="0"/>
                        </a:ext>
                      </a:extLst>
                    </a:blip>
                    <a:srcRect l="-118" r="20207" b="20757"/>
                    <a:stretch/>
                  </pic:blipFill>
                  <pic:spPr>
                    <a:xfrm>
                      <a:off x="0" y="0"/>
                      <a:ext cx="5866765" cy="2874645"/>
                    </a:xfrm>
                    <a:prstGeom prst="rect">
                      <a:avLst/>
                    </a:prstGeom>
                  </pic:spPr>
                </pic:pic>
              </a:graphicData>
            </a:graphic>
            <wp14:sizeRelH relativeFrom="margin">
              <wp14:pctWidth>0</wp14:pctWidth>
            </wp14:sizeRelH>
            <wp14:sizeRelV relativeFrom="margin">
              <wp14:pctHeight>0</wp14:pctHeight>
            </wp14:sizeRelV>
          </wp:anchor>
        </w:drawing>
      </w:r>
      <w:r w:rsidRPr="002327CB">
        <w:t>sufficient water was ava</w:t>
      </w:r>
      <w:r>
        <w:t>ilable to perform this experiment</w:t>
      </w:r>
      <w:r w:rsidRPr="00430B3D">
        <w:t xml:space="preserve">, water that would otherwise have been </w:t>
      </w:r>
      <w:r w:rsidR="00B1197A">
        <w:t>released</w:t>
      </w:r>
      <w:r w:rsidR="00B1197A" w:rsidRPr="00430B3D">
        <w:t xml:space="preserve"> </w:t>
      </w:r>
      <w:r w:rsidRPr="00430B3D">
        <w:t xml:space="preserve">in months after this </w:t>
      </w:r>
      <w:r>
        <w:t>experiment</w:t>
      </w:r>
      <w:r w:rsidRPr="00430B3D">
        <w:t xml:space="preserve"> was </w:t>
      </w:r>
      <w:r w:rsidR="00B1197A">
        <w:t>reallocated to November</w:t>
      </w:r>
      <w:r w:rsidRPr="00430B3D">
        <w:t xml:space="preserve"> </w:t>
      </w:r>
      <w:r>
        <w:t xml:space="preserve">(see </w:t>
      </w:r>
      <w:r w:rsidR="009E5AB2">
        <w:t>Table 2.2).</w:t>
      </w:r>
    </w:p>
    <w:p w:rsidR="009E5AB2" w:rsidRDefault="009E5AB2" w:rsidP="009E5AB2"/>
    <w:p w:rsidR="003F7821" w:rsidRPr="00E25099" w:rsidRDefault="00031A21" w:rsidP="003F7821">
      <w:pPr>
        <w:pStyle w:val="Heading2"/>
        <w:jc w:val="left"/>
        <w:rPr>
          <w:sz w:val="24"/>
          <w:szCs w:val="24"/>
        </w:rPr>
      </w:pPr>
      <w:bookmarkStart w:id="27" w:name="_Toc19196965"/>
      <w:r>
        <w:rPr>
          <w:sz w:val="24"/>
          <w:szCs w:val="24"/>
        </w:rPr>
        <w:t>Bug Flow</w:t>
      </w:r>
      <w:r w:rsidR="003F7821" w:rsidRPr="00E25099">
        <w:rPr>
          <w:sz w:val="24"/>
          <w:szCs w:val="24"/>
        </w:rPr>
        <w:t xml:space="preserve"> experiment</w:t>
      </w:r>
      <w:bookmarkEnd w:id="27"/>
    </w:p>
    <w:p w:rsidR="003F7821" w:rsidRPr="00E25099" w:rsidRDefault="003F7821" w:rsidP="003F7821"/>
    <w:p w:rsidR="003F7821" w:rsidRPr="00E25099" w:rsidRDefault="00624825" w:rsidP="003F7821">
      <w:r w:rsidRPr="00E25099">
        <w:t xml:space="preserve">In addition to the HFE that </w:t>
      </w:r>
      <w:r w:rsidR="00144B1C" w:rsidRPr="00E25099">
        <w:t>is</w:t>
      </w:r>
      <w:r w:rsidRPr="00E25099">
        <w:t xml:space="preserve"> described above, and on which t</w:t>
      </w:r>
      <w:r w:rsidR="00131646" w:rsidRPr="00E25099">
        <w:t>his report is focusing, another</w:t>
      </w:r>
      <w:r w:rsidRPr="00E25099">
        <w:t xml:space="preserve"> experiment </w:t>
      </w:r>
      <w:r w:rsidR="00131646" w:rsidRPr="00E25099">
        <w:t>called “</w:t>
      </w:r>
      <w:r w:rsidR="00031A21">
        <w:t>B</w:t>
      </w:r>
      <w:r w:rsidR="00131646" w:rsidRPr="00E25099">
        <w:t xml:space="preserve">ug </w:t>
      </w:r>
      <w:r w:rsidR="00031A21">
        <w:t>Fl</w:t>
      </w:r>
      <w:r w:rsidR="00131646" w:rsidRPr="00E25099">
        <w:t xml:space="preserve">ow” </w:t>
      </w:r>
      <w:r w:rsidRPr="00E25099">
        <w:t xml:space="preserve">occurred in the last month of the study period. </w:t>
      </w:r>
      <w:r w:rsidR="003F7821" w:rsidRPr="00E25099">
        <w:t>Th</w:t>
      </w:r>
      <w:r w:rsidR="00031A21">
        <w:t xml:space="preserve">is </w:t>
      </w:r>
      <w:r w:rsidR="003F7821" w:rsidRPr="00E25099">
        <w:t>experiment</w:t>
      </w:r>
      <w:r w:rsidR="00CE0245" w:rsidRPr="00E25099">
        <w:t>, also known as macroinvertebrate production flows (MPF),</w:t>
      </w:r>
      <w:r w:rsidR="003F7821" w:rsidRPr="00E25099">
        <w:t xml:space="preserve"> was conducted from May</w:t>
      </w:r>
      <w:r w:rsidR="00CE0245" w:rsidRPr="00E25099">
        <w:t xml:space="preserve"> 1, through</w:t>
      </w:r>
      <w:r w:rsidR="003F7821" w:rsidRPr="00E25099">
        <w:t xml:space="preserve"> August </w:t>
      </w:r>
      <w:r w:rsidR="00CE0245" w:rsidRPr="00E25099">
        <w:t xml:space="preserve">31, </w:t>
      </w:r>
      <w:r w:rsidR="003F7821" w:rsidRPr="00E25099">
        <w:t xml:space="preserve">2019. </w:t>
      </w:r>
      <w:r w:rsidR="00CE0245" w:rsidRPr="00E25099">
        <w:t>It is the second time this experiment has been conducted at GCD.</w:t>
      </w:r>
      <w:r w:rsidR="00031A21">
        <w:t xml:space="preserve"> </w:t>
      </w:r>
    </w:p>
    <w:p w:rsidR="003F7821" w:rsidRPr="00E25099" w:rsidRDefault="003F7821">
      <w:pPr>
        <w:spacing w:line="240" w:lineRule="auto"/>
        <w:jc w:val="left"/>
      </w:pPr>
    </w:p>
    <w:p w:rsidR="00FD2B63" w:rsidRPr="00E25099" w:rsidRDefault="00CE0245" w:rsidP="00CE0245">
      <w:pPr>
        <w:spacing w:line="240" w:lineRule="auto"/>
      </w:pPr>
      <w:r w:rsidRPr="00E25099">
        <w:t xml:space="preserve">The MPF Experiment is requested and described in the 2016 </w:t>
      </w:r>
      <w:r w:rsidR="00031A21">
        <w:t xml:space="preserve">LTEMP </w:t>
      </w:r>
      <w:r w:rsidRPr="00E25099">
        <w:t xml:space="preserve">ROD. These MPFs maintain flat releases on the weekends and holidays to a level equal to the minimum release rate during the week plus </w:t>
      </w:r>
      <w:r w:rsidR="00131646" w:rsidRPr="00E25099">
        <w:t xml:space="preserve">an additional flow rate </w:t>
      </w:r>
      <w:r w:rsidR="00624825" w:rsidRPr="00E25099">
        <w:t>called “flat flow adder</w:t>
      </w:r>
      <w:r w:rsidR="00031A21">
        <w:t>.</w:t>
      </w:r>
      <w:r w:rsidR="00624825" w:rsidRPr="00E25099">
        <w:t>”</w:t>
      </w:r>
      <w:r w:rsidRPr="00E25099">
        <w:t xml:space="preserve"> This is to allow aquatic insects throughout the river corridor to be able to lay their eggs at a stage where they would not be at risk of being dewatered or desiccated. The experiment includes monitoring to evaluate whether the flows increase the diversity and production of aquatic insects. More details about this experiment can be found in (Ploussard et al. 2019b). </w:t>
      </w:r>
    </w:p>
    <w:p w:rsidR="00FD2B63" w:rsidRPr="00E25099" w:rsidRDefault="00FD2B63" w:rsidP="00CE0245">
      <w:pPr>
        <w:spacing w:line="240" w:lineRule="auto"/>
      </w:pPr>
    </w:p>
    <w:p w:rsidR="00CE0245" w:rsidRPr="00E25099" w:rsidRDefault="00CE0245" w:rsidP="00CE0245">
      <w:pPr>
        <w:spacing w:line="240" w:lineRule="auto"/>
      </w:pPr>
      <w:r w:rsidRPr="00E25099">
        <w:t xml:space="preserve">The average historical flow pattern during a typical week </w:t>
      </w:r>
      <w:r w:rsidR="00FD2B63" w:rsidRPr="00E25099">
        <w:t xml:space="preserve">in May 2019 </w:t>
      </w:r>
      <w:r w:rsidRPr="00E25099">
        <w:t>is</w:t>
      </w:r>
      <w:r w:rsidR="00FD2B63" w:rsidRPr="00E25099">
        <w:t xml:space="preserve"> shown graphically in Figure 3.2. </w:t>
      </w:r>
      <w:r w:rsidR="00782BDF" w:rsidRPr="00E25099">
        <w:t xml:space="preserve">In 2019, the “flat flow adder” was equal to 750 cfs. </w:t>
      </w:r>
      <w:r w:rsidR="00031A21">
        <w:t>Because of</w:t>
      </w:r>
      <w:r w:rsidR="00782BDF" w:rsidRPr="00E25099">
        <w:t xml:space="preserve"> exceptional </w:t>
      </w:r>
      <w:r w:rsidR="00031A21">
        <w:t xml:space="preserve">water and power </w:t>
      </w:r>
      <w:r w:rsidR="00782BDF" w:rsidRPr="00E25099">
        <w:t xml:space="preserve">conditions, the daily fluctuations were much lower than the ones allowed by the 2016 ROD and described in Table 2.1. </w:t>
      </w:r>
      <w:r w:rsidR="00031A21">
        <w:t>This is d</w:t>
      </w:r>
      <w:r w:rsidR="00782BDF" w:rsidRPr="00E25099">
        <w:t xml:space="preserve">ue </w:t>
      </w:r>
      <w:r w:rsidR="00031A21">
        <w:t xml:space="preserve">to a combination of factors including </w:t>
      </w:r>
      <w:r w:rsidR="00782BDF" w:rsidRPr="00E25099">
        <w:t>unit outages, regulation</w:t>
      </w:r>
      <w:r w:rsidR="00031A21">
        <w:t xml:space="preserve"> requirements</w:t>
      </w:r>
      <w:r w:rsidR="00782BDF" w:rsidRPr="00E25099">
        <w:t xml:space="preserve"> </w:t>
      </w:r>
      <w:r w:rsidR="00031A21">
        <w:t xml:space="preserve">and </w:t>
      </w:r>
      <w:r w:rsidR="006219B4" w:rsidRPr="00E25099">
        <w:t xml:space="preserve">a </w:t>
      </w:r>
      <w:r w:rsidR="00031A21">
        <w:t>low</w:t>
      </w:r>
      <w:r w:rsidR="006219B4" w:rsidRPr="00E25099">
        <w:t xml:space="preserve"> off-peak flow</w:t>
      </w:r>
      <w:r w:rsidR="00031A21">
        <w:t xml:space="preserve"> rate.</w:t>
      </w:r>
      <w:r w:rsidR="006219B4" w:rsidRPr="00E25099">
        <w:t xml:space="preserve"> </w:t>
      </w:r>
      <w:r w:rsidR="00031A21">
        <w:t xml:space="preserve">Also, </w:t>
      </w:r>
      <w:r w:rsidR="006219B4" w:rsidRPr="00E25099">
        <w:t xml:space="preserve">maximum daily fluctuations were </w:t>
      </w:r>
      <w:r w:rsidR="00131646" w:rsidRPr="00E25099">
        <w:t>limited</w:t>
      </w:r>
      <w:r w:rsidR="006219B4" w:rsidRPr="00E25099">
        <w:t xml:space="preserve"> to 4,500 cfs instead of the 6,500 cfs allowed by the ROD. </w:t>
      </w:r>
      <w:r w:rsidR="00031A21">
        <w:t xml:space="preserve">A </w:t>
      </w:r>
      <w:r w:rsidR="006219B4" w:rsidRPr="00E25099">
        <w:t>double cycle of raising and lowering the flow rate at GCD</w:t>
      </w:r>
      <w:r w:rsidR="00031A21">
        <w:t xml:space="preserve"> twice each weekday</w:t>
      </w:r>
      <w:r w:rsidR="006219B4" w:rsidRPr="00E25099">
        <w:t xml:space="preserve">, instead of </w:t>
      </w:r>
      <w:r w:rsidR="00031A21">
        <w:t xml:space="preserve">normal </w:t>
      </w:r>
      <w:r w:rsidR="006219B4" w:rsidRPr="00E25099">
        <w:t>single cycle</w:t>
      </w:r>
      <w:r w:rsidR="00031A21">
        <w:t xml:space="preserve"> pattern that usually </w:t>
      </w:r>
      <w:r w:rsidR="00322EDA">
        <w:t>scheduled</w:t>
      </w:r>
      <w:r w:rsidR="00031A21">
        <w:t xml:space="preserve"> during this month was related to </w:t>
      </w:r>
      <w:r w:rsidR="006219B4" w:rsidRPr="00E25099">
        <w:t>WAPA</w:t>
      </w:r>
      <w:r w:rsidR="00031A21">
        <w:t>’s energy short position</w:t>
      </w:r>
      <w:r w:rsidR="006219B4" w:rsidRPr="00E25099">
        <w:t xml:space="preserve"> during off</w:t>
      </w:r>
      <w:r w:rsidR="00322EDA">
        <w:t>-</w:t>
      </w:r>
      <w:r w:rsidR="006219B4" w:rsidRPr="00E25099">
        <w:t>peak hours (Dean 2019b).</w:t>
      </w:r>
    </w:p>
    <w:p w:rsidR="009B561D" w:rsidRPr="00E25099" w:rsidRDefault="009B561D">
      <w:pPr>
        <w:spacing w:line="240" w:lineRule="auto"/>
        <w:jc w:val="left"/>
      </w:pPr>
    </w:p>
    <w:p w:rsidR="00D91715" w:rsidRDefault="003F7821" w:rsidP="009B561D">
      <w:pPr>
        <w:spacing w:line="240" w:lineRule="auto"/>
      </w:pPr>
      <w:r w:rsidRPr="00E25099">
        <w:t xml:space="preserve">The financial impact of the </w:t>
      </w:r>
      <w:r w:rsidR="00322EDA">
        <w:t>Bug Flow</w:t>
      </w:r>
      <w:r w:rsidRPr="00E25099">
        <w:t xml:space="preserve"> experiment is out of the scope of the present </w:t>
      </w:r>
      <w:r w:rsidR="00D061B5" w:rsidRPr="00E25099">
        <w:t>report</w:t>
      </w:r>
      <w:r w:rsidRPr="00E25099">
        <w:t>. Therefore, it was assumed that the “bug flow” experiment occurred in all Factual and Counterfactual cases. This way, it was ensured that the calculated financial costs were only impacted by the HFE.</w:t>
      </w:r>
      <w:r w:rsidR="006219B4" w:rsidRPr="00E25099">
        <w:t xml:space="preserve"> Consistently with the historical data, in all Factual and Counterfactual cases, </w:t>
      </w:r>
      <w:r w:rsidR="00322EDA">
        <w:t>the GTMax SL model uses a</w:t>
      </w:r>
      <w:r w:rsidR="006219B4" w:rsidRPr="00E25099">
        <w:t xml:space="preserve"> flat flow adder of 750 cfs, </w:t>
      </w:r>
      <w:r w:rsidR="00322EDA">
        <w:t xml:space="preserve">a </w:t>
      </w:r>
      <w:r w:rsidR="006219B4" w:rsidRPr="00E25099">
        <w:t xml:space="preserve">maximum daily fluctuations of 4,500 cfs, and </w:t>
      </w:r>
      <w:r w:rsidR="004330E9" w:rsidRPr="00E25099">
        <w:t>a double cycle of raising and lowering the flow rate at GCD during weekdays.</w:t>
      </w:r>
    </w:p>
    <w:p w:rsidR="00D91715" w:rsidRDefault="00D91715" w:rsidP="009B561D">
      <w:pPr>
        <w:spacing w:line="240" w:lineRule="auto"/>
      </w:pPr>
    </w:p>
    <w:p w:rsidR="00782BDF" w:rsidRDefault="0044441E" w:rsidP="00782BDF">
      <w:pPr>
        <w:keepNext/>
        <w:spacing w:line="240" w:lineRule="auto"/>
      </w:pPr>
      <w:r>
        <w:rPr>
          <w:noProof/>
        </w:rPr>
        <mc:AlternateContent>
          <mc:Choice Requires="wps">
            <w:drawing>
              <wp:anchor distT="0" distB="0" distL="114300" distR="114300" simplePos="0" relativeHeight="251700224" behindDoc="0" locked="0" layoutInCell="1" allowOverlap="1" wp14:anchorId="440A254E" wp14:editId="21838F77">
                <wp:simplePos x="0" y="0"/>
                <wp:positionH relativeFrom="column">
                  <wp:posOffset>4132514</wp:posOffset>
                </wp:positionH>
                <wp:positionV relativeFrom="paragraph">
                  <wp:posOffset>1412818</wp:posOffset>
                </wp:positionV>
                <wp:extent cx="1157844" cy="492826"/>
                <wp:effectExtent l="0" t="0" r="0" b="2540"/>
                <wp:wrapNone/>
                <wp:docPr id="43" name="Text Box 43"/>
                <wp:cNvGraphicFramePr/>
                <a:graphic xmlns:a="http://schemas.openxmlformats.org/drawingml/2006/main">
                  <a:graphicData uri="http://schemas.microsoft.com/office/word/2010/wordprocessingShape">
                    <wps:wsp>
                      <wps:cNvSpPr txBox="1"/>
                      <wps:spPr>
                        <a:xfrm>
                          <a:off x="0" y="0"/>
                          <a:ext cx="1157844" cy="492826"/>
                        </a:xfrm>
                        <a:prstGeom prst="rect">
                          <a:avLst/>
                        </a:prstGeom>
                        <a:noFill/>
                        <a:ln w="6350">
                          <a:noFill/>
                        </a:ln>
                      </wps:spPr>
                      <wps:txbx>
                        <w:txbxContent>
                          <w:p w:rsidR="00E25099" w:rsidRPr="0044441E" w:rsidRDefault="00E25099" w:rsidP="0044441E">
                            <w:pPr>
                              <w:jc w:val="left"/>
                              <w:rPr>
                                <w:rFonts w:ascii="Arial" w:hAnsi="Arial" w:cs="Arial"/>
                                <w:color w:val="1F497D" w:themeColor="text2"/>
                                <w:sz w:val="20"/>
                              </w:rPr>
                            </w:pPr>
                            <w:r>
                              <w:rPr>
                                <w:rFonts w:ascii="Arial" w:hAnsi="Arial" w:cs="Arial"/>
                                <w:color w:val="1F497D" w:themeColor="text2"/>
                                <w:sz w:val="20"/>
                              </w:rPr>
                              <w:t>“Flat flow adder”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0A254E" id="Text Box 43" o:spid="_x0000_s1028" type="#_x0000_t202" style="position:absolute;left:0;text-align:left;margin-left:325.4pt;margin-top:111.25pt;width:91.15pt;height:3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" filled="f" stroked="f" strokeweight=".5pt">
                <v:textbox>
                  <w:txbxContent>
                    <w:p w:rsidR="00E25099" w:rsidRPr="0044441E" w:rsidRDefault="00E25099" w:rsidP="0044441E">
                      <w:pPr>
                        <w:jc w:val="left"/>
                        <w:rPr>
                          <w:rFonts w:ascii="Arial" w:hAnsi="Arial" w:cs="Arial"/>
                          <w:color w:val="1F497D" w:themeColor="text2"/>
                          <w:sz w:val="20"/>
                        </w:rPr>
                      </w:pPr>
                      <w:r>
                        <w:rPr>
                          <w:rFonts w:ascii="Arial" w:hAnsi="Arial" w:cs="Arial"/>
                          <w:color w:val="1F497D" w:themeColor="text2"/>
                          <w:sz w:val="20"/>
                        </w:rPr>
                        <w:t>“Flat flow adder”</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2C4C242A" wp14:editId="3C0763ED">
                <wp:simplePos x="0" y="0"/>
                <wp:positionH relativeFrom="column">
                  <wp:posOffset>2262249</wp:posOffset>
                </wp:positionH>
                <wp:positionV relativeFrom="paragraph">
                  <wp:posOffset>1472540</wp:posOffset>
                </wp:positionV>
                <wp:extent cx="1086593" cy="492826"/>
                <wp:effectExtent l="0" t="0" r="0" b="2540"/>
                <wp:wrapNone/>
                <wp:docPr id="42" name="Text Box 42"/>
                <wp:cNvGraphicFramePr/>
                <a:graphic xmlns:a="http://schemas.openxmlformats.org/drawingml/2006/main">
                  <a:graphicData uri="http://schemas.microsoft.com/office/word/2010/wordprocessingShape">
                    <wps:wsp>
                      <wps:cNvSpPr txBox="1"/>
                      <wps:spPr>
                        <a:xfrm>
                          <a:off x="0" y="0"/>
                          <a:ext cx="1086593" cy="492826"/>
                        </a:xfrm>
                        <a:prstGeom prst="rect">
                          <a:avLst/>
                        </a:prstGeom>
                        <a:noFill/>
                        <a:ln w="6350">
                          <a:noFill/>
                        </a:ln>
                      </wps:spPr>
                      <wps:txbx>
                        <w:txbxContent>
                          <w:p w:rsidR="00E25099" w:rsidRPr="0044441E" w:rsidRDefault="00E25099" w:rsidP="0044441E">
                            <w:pPr>
                              <w:jc w:val="left"/>
                              <w:rPr>
                                <w:rFonts w:ascii="Arial" w:hAnsi="Arial" w:cs="Arial"/>
                                <w:color w:val="1F497D" w:themeColor="text2"/>
                                <w:sz w:val="20"/>
                              </w:rPr>
                            </w:pPr>
                            <w:r>
                              <w:rPr>
                                <w:rFonts w:ascii="Arial" w:hAnsi="Arial" w:cs="Arial"/>
                                <w:color w:val="1F497D" w:themeColor="text2"/>
                                <w:sz w:val="20"/>
                              </w:rPr>
                              <w:t>Flat flows during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4C242A" id="Text Box 42" o:spid="_x0000_s1029" type="#_x0000_t202" style="position:absolute;left:0;text-align:left;margin-left:178.15pt;margin-top:115.95pt;width:85.55pt;height:3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" filled="f" stroked="f" strokeweight=".5pt">
                <v:textbox>
                  <w:txbxContent>
                    <w:p w:rsidR="00E25099" w:rsidRPr="0044441E" w:rsidRDefault="00E25099" w:rsidP="0044441E">
                      <w:pPr>
                        <w:jc w:val="left"/>
                        <w:rPr>
                          <w:rFonts w:ascii="Arial" w:hAnsi="Arial" w:cs="Arial"/>
                          <w:color w:val="1F497D" w:themeColor="text2"/>
                          <w:sz w:val="20"/>
                        </w:rPr>
                      </w:pPr>
                      <w:r>
                        <w:rPr>
                          <w:rFonts w:ascii="Arial" w:hAnsi="Arial" w:cs="Arial"/>
                          <w:color w:val="1F497D" w:themeColor="text2"/>
                          <w:sz w:val="20"/>
                        </w:rPr>
                        <w:t>Flat flows during weekend</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0408E9F" wp14:editId="5728122C">
                <wp:simplePos x="0" y="0"/>
                <wp:positionH relativeFrom="column">
                  <wp:posOffset>1104405</wp:posOffset>
                </wp:positionH>
                <wp:positionV relativeFrom="paragraph">
                  <wp:posOffset>1905991</wp:posOffset>
                </wp:positionV>
                <wp:extent cx="1151907" cy="492826"/>
                <wp:effectExtent l="0" t="0" r="0" b="2540"/>
                <wp:wrapNone/>
                <wp:docPr id="41" name="Text Box 41"/>
                <wp:cNvGraphicFramePr/>
                <a:graphic xmlns:a="http://schemas.openxmlformats.org/drawingml/2006/main">
                  <a:graphicData uri="http://schemas.microsoft.com/office/word/2010/wordprocessingShape">
                    <wps:wsp>
                      <wps:cNvSpPr txBox="1"/>
                      <wps:spPr>
                        <a:xfrm>
                          <a:off x="0" y="0"/>
                          <a:ext cx="1151907" cy="492826"/>
                        </a:xfrm>
                        <a:prstGeom prst="rect">
                          <a:avLst/>
                        </a:prstGeom>
                        <a:noFill/>
                        <a:ln w="6350">
                          <a:noFill/>
                        </a:ln>
                      </wps:spPr>
                      <wps:txbx>
                        <w:txbxContent>
                          <w:p w:rsidR="00E25099" w:rsidRPr="0044441E" w:rsidRDefault="00E25099" w:rsidP="0044441E">
                            <w:pPr>
                              <w:jc w:val="left"/>
                              <w:rPr>
                                <w:rFonts w:ascii="Arial" w:hAnsi="Arial" w:cs="Arial"/>
                                <w:color w:val="1F497D" w:themeColor="text2"/>
                                <w:sz w:val="20"/>
                              </w:rPr>
                            </w:pPr>
                            <w:r w:rsidRPr="0044441E">
                              <w:rPr>
                                <w:rFonts w:ascii="Arial" w:hAnsi="Arial" w:cs="Arial"/>
                                <w:color w:val="1F497D" w:themeColor="text2"/>
                                <w:sz w:val="20"/>
                              </w:rPr>
                              <w:t>Minimum flows during weekdays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408E9F" id="Text Box 41" o:spid="_x0000_s1030" type="#_x0000_t202" style="position:absolute;left:0;text-align:left;margin-left:86.95pt;margin-top:150.1pt;width:90.7pt;height:3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" filled="f" stroked="f" strokeweight=".5pt">
                <v:textbox>
                  <w:txbxContent>
                    <w:p w:rsidR="00E25099" w:rsidRPr="0044441E" w:rsidRDefault="00E25099" w:rsidP="0044441E">
                      <w:pPr>
                        <w:jc w:val="left"/>
                        <w:rPr>
                          <w:rFonts w:ascii="Arial" w:hAnsi="Arial" w:cs="Arial"/>
                          <w:color w:val="1F497D" w:themeColor="text2"/>
                          <w:sz w:val="20"/>
                        </w:rPr>
                      </w:pPr>
                      <w:r w:rsidRPr="0044441E">
                        <w:rPr>
                          <w:rFonts w:ascii="Arial" w:hAnsi="Arial" w:cs="Arial"/>
                          <w:color w:val="1F497D" w:themeColor="text2"/>
                          <w:sz w:val="20"/>
                        </w:rPr>
                        <w:t>Minimum flows during weekdays</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5D97663" wp14:editId="5BF1888E">
                <wp:simplePos x="0" y="0"/>
                <wp:positionH relativeFrom="column">
                  <wp:posOffset>1347849</wp:posOffset>
                </wp:positionH>
                <wp:positionV relativeFrom="paragraph">
                  <wp:posOffset>1145968</wp:posOffset>
                </wp:positionV>
                <wp:extent cx="148442" cy="819397"/>
                <wp:effectExtent l="38100" t="38100" r="23495" b="19050"/>
                <wp:wrapNone/>
                <wp:docPr id="39" name="Straight Arrow Connector 39"/>
                <wp:cNvGraphicFramePr/>
                <a:graphic xmlns:a="http://schemas.openxmlformats.org/drawingml/2006/main">
                  <a:graphicData uri="http://schemas.microsoft.com/office/word/2010/wordprocessingShape">
                    <wps:wsp>
                      <wps:cNvCnPr/>
                      <wps:spPr>
                        <a:xfrm flipH="1" flipV="1">
                          <a:off x="0" y="0"/>
                          <a:ext cx="148442" cy="8193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1A877F" id="_x0000_t32" coordsize="21600,21600" o:spt="32" o:oned="t" path="m,l21600,21600e" filled="f">
                <v:path arrowok="t" fillok="f" o:connecttype="none"/>
                <o:lock v:ext="edit" shapetype="t"/>
              </v:shapetype>
              <v:shape id="Straight Arrow Connector 39" o:spid="_x0000_s1026" type="#_x0000_t32" style="position:absolute;margin-left:106.15pt;margin-top:90.25pt;width:11.7pt;height:64.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" strokecolor="#4579b8 [3044]">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7C699358" wp14:editId="0CEA62FB">
                <wp:simplePos x="0" y="0"/>
                <wp:positionH relativeFrom="column">
                  <wp:posOffset>2072013</wp:posOffset>
                </wp:positionH>
                <wp:positionV relativeFrom="paragraph">
                  <wp:posOffset>1003308</wp:posOffset>
                </wp:positionV>
                <wp:extent cx="231569" cy="665018"/>
                <wp:effectExtent l="38100" t="38100" r="35560" b="20955"/>
                <wp:wrapNone/>
                <wp:docPr id="40" name="Straight Arrow Connector 40"/>
                <wp:cNvGraphicFramePr/>
                <a:graphic xmlns:a="http://schemas.openxmlformats.org/drawingml/2006/main">
                  <a:graphicData uri="http://schemas.microsoft.com/office/word/2010/wordprocessingShape">
                    <wps:wsp>
                      <wps:cNvCnPr/>
                      <wps:spPr>
                        <a:xfrm flipH="1" flipV="1">
                          <a:off x="0" y="0"/>
                          <a:ext cx="231569" cy="6650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87E689" id="Straight Arrow Connector 40" o:spid="_x0000_s1026" type="#_x0000_t32" style="position:absolute;margin-left:163.15pt;margin-top:79pt;width:18.25pt;height:52.3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" strokecolor="#4579b8 [3044]">
                <v:stroke endarrow="block"/>
              </v:shape>
            </w:pict>
          </mc:Fallback>
        </mc:AlternateContent>
      </w:r>
      <w:r w:rsidR="00280A7C">
        <w:rPr>
          <w:noProof/>
        </w:rPr>
        <mc:AlternateContent>
          <mc:Choice Requires="wps">
            <w:drawing>
              <wp:anchor distT="0" distB="0" distL="114300" distR="114300" simplePos="0" relativeHeight="251691008" behindDoc="0" locked="0" layoutInCell="1" allowOverlap="1" wp14:anchorId="6A5CE9E5" wp14:editId="77CD2D84">
                <wp:simplePos x="0" y="0"/>
                <wp:positionH relativeFrom="column">
                  <wp:posOffset>3414115</wp:posOffset>
                </wp:positionH>
                <wp:positionV relativeFrom="paragraph">
                  <wp:posOffset>1062355</wp:posOffset>
                </wp:positionV>
                <wp:extent cx="789709" cy="498763"/>
                <wp:effectExtent l="0" t="0" r="29845" b="34925"/>
                <wp:wrapNone/>
                <wp:docPr id="38" name="Straight Arrow Connector 38"/>
                <wp:cNvGraphicFramePr/>
                <a:graphic xmlns:a="http://schemas.openxmlformats.org/drawingml/2006/main">
                  <a:graphicData uri="http://schemas.microsoft.com/office/word/2010/wordprocessingShape">
                    <wps:wsp>
                      <wps:cNvCnPr/>
                      <wps:spPr>
                        <a:xfrm flipH="1" flipV="1">
                          <a:off x="0" y="0"/>
                          <a:ext cx="789709" cy="498763"/>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F1FBF8" id="Straight Arrow Connector 38" o:spid="_x0000_s1026" type="#_x0000_t32" style="position:absolute;margin-left:268.85pt;margin-top:83.65pt;width:62.2pt;height:39.2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" strokecolor="#4579b8 [3044]"/>
            </w:pict>
          </mc:Fallback>
        </mc:AlternateContent>
      </w:r>
      <w:r w:rsidR="00280A7C">
        <w:rPr>
          <w:noProof/>
        </w:rPr>
        <mc:AlternateContent>
          <mc:Choice Requires="wps">
            <w:drawing>
              <wp:anchor distT="0" distB="0" distL="114300" distR="114300" simplePos="0" relativeHeight="251689984" behindDoc="0" locked="0" layoutInCell="1" allowOverlap="1" wp14:anchorId="52B800C7" wp14:editId="3BA08D2C">
                <wp:simplePos x="0" y="0"/>
                <wp:positionH relativeFrom="column">
                  <wp:posOffset>3414849</wp:posOffset>
                </wp:positionH>
                <wp:positionV relativeFrom="paragraph">
                  <wp:posOffset>997363</wp:posOffset>
                </wp:positionV>
                <wp:extent cx="0" cy="172192"/>
                <wp:effectExtent l="57150" t="38100" r="57150" b="56515"/>
                <wp:wrapNone/>
                <wp:docPr id="37" name="Straight Arrow Connector 37"/>
                <wp:cNvGraphicFramePr/>
                <a:graphic xmlns:a="http://schemas.openxmlformats.org/drawingml/2006/main">
                  <a:graphicData uri="http://schemas.microsoft.com/office/word/2010/wordprocessingShape">
                    <wps:wsp>
                      <wps:cNvCnPr/>
                      <wps:spPr>
                        <a:xfrm>
                          <a:off x="0" y="0"/>
                          <a:ext cx="0" cy="172192"/>
                        </a:xfrm>
                        <a:prstGeom prst="straightConnector1">
                          <a:avLst/>
                        </a:prstGeom>
                        <a:ln w="9525">
                          <a:headEnd type="triangle" w="med" len="sm"/>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4229B73" id="Straight Arrow Connector 37" o:spid="_x0000_s1026" type="#_x0000_t32" style="position:absolute;margin-left:268.9pt;margin-top:78.55pt;width:0;height:1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" strokecolor="#4579b8 [3044]">
                <v:stroke startarrow="block" startarrowlength="short" endarrow="block" endarrowlength="short"/>
              </v:shape>
            </w:pict>
          </mc:Fallback>
        </mc:AlternateContent>
      </w:r>
      <w:r w:rsidR="00280A7C">
        <w:rPr>
          <w:noProof/>
        </w:rPr>
        <mc:AlternateContent>
          <mc:Choice Requires="wps">
            <w:drawing>
              <wp:anchor distT="0" distB="0" distL="114300" distR="114300" simplePos="0" relativeHeight="251688960" behindDoc="0" locked="0" layoutInCell="1" allowOverlap="1" wp14:anchorId="7A90447A" wp14:editId="61FB0B9E">
                <wp:simplePos x="0" y="0"/>
                <wp:positionH relativeFrom="column">
                  <wp:posOffset>944089</wp:posOffset>
                </wp:positionH>
                <wp:positionV relativeFrom="paragraph">
                  <wp:posOffset>1003465</wp:posOffset>
                </wp:positionV>
                <wp:extent cx="4672932" cy="0"/>
                <wp:effectExtent l="0" t="0" r="13970" b="19050"/>
                <wp:wrapNone/>
                <wp:docPr id="36" name="Straight Connector 36"/>
                <wp:cNvGraphicFramePr/>
                <a:graphic xmlns:a="http://schemas.openxmlformats.org/drawingml/2006/main">
                  <a:graphicData uri="http://schemas.microsoft.com/office/word/2010/wordprocessingShape">
                    <wps:wsp>
                      <wps:cNvCnPr/>
                      <wps:spPr>
                        <a:xfrm>
                          <a:off x="0" y="0"/>
                          <a:ext cx="467293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D5B647F" id="Straight Connector 3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35pt,79pt" to="442.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" strokecolor="#4579b8 [3044]">
                <v:stroke dashstyle="dash"/>
              </v:line>
            </w:pict>
          </mc:Fallback>
        </mc:AlternateContent>
      </w:r>
      <w:r w:rsidR="00280A7C">
        <w:rPr>
          <w:noProof/>
        </w:rPr>
        <mc:AlternateContent>
          <mc:Choice Requires="wps">
            <w:drawing>
              <wp:anchor distT="0" distB="0" distL="114300" distR="114300" simplePos="0" relativeHeight="251686912" behindDoc="0" locked="0" layoutInCell="1" allowOverlap="1" wp14:anchorId="2051D82A" wp14:editId="0452C447">
                <wp:simplePos x="0" y="0"/>
                <wp:positionH relativeFrom="column">
                  <wp:posOffset>944088</wp:posOffset>
                </wp:positionH>
                <wp:positionV relativeFrom="paragraph">
                  <wp:posOffset>1145969</wp:posOffset>
                </wp:positionV>
                <wp:extent cx="4672487"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4672487"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3F7496A" id="Straight Connector 3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35pt,90.25pt" to="442.2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" strokecolor="#4579b8 [3044]">
                <v:stroke dashstyle="dash"/>
              </v:line>
            </w:pict>
          </mc:Fallback>
        </mc:AlternateContent>
      </w:r>
      <w:r w:rsidR="00D91715" w:rsidRPr="00D91715">
        <w:rPr>
          <w:noProof/>
        </w:rPr>
        <w:drawing>
          <wp:inline distT="0" distB="0" distL="0" distR="0" wp14:anchorId="5438B5A5" wp14:editId="795975D2">
            <wp:extent cx="5814204" cy="3522702"/>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0181" cy="3526323"/>
                    </a:xfrm>
                    <a:prstGeom prst="rect">
                      <a:avLst/>
                    </a:prstGeom>
                    <a:noFill/>
                    <a:ln>
                      <a:noFill/>
                    </a:ln>
                  </pic:spPr>
                </pic:pic>
              </a:graphicData>
            </a:graphic>
          </wp:inline>
        </w:drawing>
      </w:r>
    </w:p>
    <w:p w:rsidR="00782BDF" w:rsidRDefault="00782BDF" w:rsidP="00782BDF">
      <w:pPr>
        <w:pStyle w:val="Caption"/>
        <w:jc w:val="center"/>
      </w:pPr>
      <w:bookmarkStart w:id="28" w:name="_Toc19196928"/>
      <w:r>
        <w:t xml:space="preserve">Figure </w:t>
      </w:r>
      <w:r w:rsidR="00CE27EE">
        <w:rPr>
          <w:noProof/>
        </w:rPr>
        <w:fldChar w:fldCharType="begin"/>
      </w:r>
      <w:r w:rsidR="00CE27EE">
        <w:rPr>
          <w:noProof/>
        </w:rPr>
        <w:instrText xml:space="preserve"> STYLEREF 1 \s </w:instrText>
      </w:r>
      <w:r w:rsidR="00CE27EE">
        <w:rPr>
          <w:noProof/>
        </w:rPr>
        <w:fldChar w:fldCharType="separate"/>
      </w:r>
      <w:r>
        <w:rPr>
          <w:noProof/>
        </w:rPr>
        <w:t>3</w:t>
      </w:r>
      <w:r w:rsidR="00CE27EE">
        <w:rPr>
          <w:noProof/>
        </w:rPr>
        <w:fldChar w:fldCharType="end"/>
      </w:r>
      <w:r>
        <w:noBreakHyphen/>
      </w:r>
      <w:r w:rsidR="00CE27EE">
        <w:rPr>
          <w:noProof/>
        </w:rPr>
        <w:fldChar w:fldCharType="begin"/>
      </w:r>
      <w:r w:rsidR="00CE27EE">
        <w:rPr>
          <w:noProof/>
        </w:rPr>
        <w:instrText xml:space="preserve"> SEQ Figure \* ARABIC \s 1 </w:instrText>
      </w:r>
      <w:r w:rsidR="00CE27EE">
        <w:rPr>
          <w:noProof/>
        </w:rPr>
        <w:fldChar w:fldCharType="separate"/>
      </w:r>
      <w:r>
        <w:rPr>
          <w:noProof/>
        </w:rPr>
        <w:t>2</w:t>
      </w:r>
      <w:r w:rsidR="00CE27EE">
        <w:rPr>
          <w:noProof/>
        </w:rPr>
        <w:fldChar w:fldCharType="end"/>
      </w:r>
      <w:r>
        <w:t xml:space="preserve"> Typical week release pattern of the </w:t>
      </w:r>
      <w:r w:rsidR="00322EDA">
        <w:t>B</w:t>
      </w:r>
      <w:r>
        <w:t xml:space="preserve">ug </w:t>
      </w:r>
      <w:r w:rsidR="00322EDA">
        <w:t>Fl</w:t>
      </w:r>
      <w:r>
        <w:t>ow experiment in May 2019</w:t>
      </w:r>
      <w:bookmarkEnd w:id="28"/>
    </w:p>
    <w:p w:rsidR="00131646" w:rsidRDefault="00D91715" w:rsidP="00131646">
      <w:pPr>
        <w:rPr>
          <w:rFonts w:ascii="CG Times (W1)" w:hAnsi="CG Times (W1)"/>
        </w:rPr>
      </w:pPr>
      <w:r>
        <w:t xml:space="preserve"> </w:t>
      </w:r>
      <w:r w:rsidR="00E66BB6">
        <w:br w:type="page"/>
      </w: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rsidP="00131646">
      <w:pPr>
        <w:rPr>
          <w:rFonts w:ascii="CG Times (W1)" w:hAnsi="CG Times (W1)"/>
        </w:rPr>
      </w:pPr>
    </w:p>
    <w:p w:rsidR="00131646" w:rsidRPr="00115610" w:rsidRDefault="00131646" w:rsidP="00131646">
      <w:pPr>
        <w:jc w:val="center"/>
      </w:pPr>
      <w:r w:rsidRPr="00115610">
        <w:t>This page intentionally left blank.</w:t>
      </w:r>
    </w:p>
    <w:p w:rsidR="00131646" w:rsidRDefault="00131646" w:rsidP="00131646">
      <w:pPr>
        <w:rPr>
          <w:rFonts w:ascii="CG Times (W1)" w:hAnsi="CG Times (W1)"/>
        </w:rPr>
      </w:pPr>
    </w:p>
    <w:p w:rsidR="00131646" w:rsidRDefault="00131646" w:rsidP="00131646">
      <w:pPr>
        <w:rPr>
          <w:rFonts w:ascii="CG Times (W1)" w:hAnsi="CG Times (W1)"/>
        </w:rPr>
      </w:pPr>
    </w:p>
    <w:p w:rsidR="00131646" w:rsidRDefault="00131646">
      <w:pPr>
        <w:spacing w:line="240" w:lineRule="auto"/>
        <w:jc w:val="left"/>
      </w:pPr>
      <w:r>
        <w:br w:type="page"/>
      </w:r>
    </w:p>
    <w:p w:rsidR="00E72DCA" w:rsidRDefault="00E72DCA" w:rsidP="00E72DCA">
      <w:pPr>
        <w:pStyle w:val="Heading1"/>
        <w:ind w:left="360" w:hanging="360"/>
        <w:jc w:val="left"/>
        <w:rPr>
          <w:bCs/>
        </w:rPr>
      </w:pPr>
      <w:bookmarkStart w:id="29" w:name="_Toc19196966"/>
      <w:r>
        <w:rPr>
          <w:bCs/>
        </w:rPr>
        <w:t>Methods and Models</w:t>
      </w:r>
      <w:bookmarkEnd w:id="29"/>
    </w:p>
    <w:p w:rsidR="00E72DCA" w:rsidRDefault="00E72DCA" w:rsidP="009E5AB2"/>
    <w:p w:rsidR="00E72DCA" w:rsidRDefault="00430BAC" w:rsidP="00E72DCA">
      <w:r>
        <w:t xml:space="preserve">For the WY 2019 analysis, </w:t>
      </w:r>
      <w:r w:rsidR="00322EDA">
        <w:t xml:space="preserve">WAPA HFE </w:t>
      </w:r>
      <w:r>
        <w:t xml:space="preserve">financial impacts were computed by comparing simulated results between two </w:t>
      </w:r>
      <w:r w:rsidR="00B613E2">
        <w:t>types</w:t>
      </w:r>
      <w:r>
        <w:t xml:space="preserve"> of cases:</w:t>
      </w:r>
    </w:p>
    <w:p w:rsidR="00430BAC" w:rsidRPr="00696A93" w:rsidRDefault="00430BAC" w:rsidP="00430BAC"/>
    <w:p w:rsidR="00430BAC" w:rsidRDefault="00430BAC" w:rsidP="00430BAC">
      <w:pPr>
        <w:numPr>
          <w:ilvl w:val="0"/>
          <w:numId w:val="33"/>
        </w:numPr>
        <w:tabs>
          <w:tab w:val="clear" w:pos="720"/>
          <w:tab w:val="num" w:pos="810"/>
        </w:tabs>
        <w:ind w:left="810" w:hanging="450"/>
        <w:jc w:val="left"/>
      </w:pPr>
      <w:r>
        <w:t>Factual</w:t>
      </w:r>
      <w:r w:rsidR="00322EDA" w:rsidRPr="00322EDA">
        <w:rPr>
          <w:b/>
        </w:rPr>
        <w:t>:</w:t>
      </w:r>
      <w:r w:rsidRPr="00E25099">
        <w:rPr>
          <w:b/>
        </w:rPr>
        <w:t xml:space="preserve"> </w:t>
      </w:r>
      <w:r w:rsidRPr="00696A93">
        <w:t xml:space="preserve">assumes </w:t>
      </w:r>
      <w:r w:rsidR="00322EDA">
        <w:t xml:space="preserve">that (a) </w:t>
      </w:r>
      <w:r>
        <w:t>daily</w:t>
      </w:r>
      <w:r w:rsidR="00322EDA">
        <w:t xml:space="preserve"> and</w:t>
      </w:r>
      <w:r>
        <w:t xml:space="preserve"> hourly</w:t>
      </w:r>
      <w:r w:rsidR="00322EDA">
        <w:t xml:space="preserve"> operations</w:t>
      </w:r>
      <w:r>
        <w:t xml:space="preserve">, </w:t>
      </w:r>
      <w:r w:rsidRPr="00696A93">
        <w:t xml:space="preserve">and </w:t>
      </w:r>
      <w:r w:rsidRPr="00C25D62">
        <w:rPr>
          <w:i/>
        </w:rPr>
        <w:t>planned</w:t>
      </w:r>
      <w:r w:rsidRPr="00696A93">
        <w:t xml:space="preserve"> monthly release volumes</w:t>
      </w:r>
      <w:r>
        <w:t xml:space="preserve"> to be in compliance with the </w:t>
      </w:r>
      <w:r w:rsidR="00322EDA">
        <w:t xml:space="preserve">LTEMP </w:t>
      </w:r>
      <w:r>
        <w:t>ROD</w:t>
      </w:r>
      <w:r w:rsidRPr="00696A93">
        <w:t xml:space="preserve"> criteria, </w:t>
      </w:r>
      <w:r w:rsidR="00322EDA">
        <w:t xml:space="preserve">(b) </w:t>
      </w:r>
      <w:r w:rsidR="00B613E2" w:rsidRPr="00E25099">
        <w:t xml:space="preserve">the occurrence of the </w:t>
      </w:r>
      <w:r w:rsidR="00322EDA">
        <w:t>B</w:t>
      </w:r>
      <w:r w:rsidR="00B613E2" w:rsidRPr="00E25099">
        <w:t xml:space="preserve">ug </w:t>
      </w:r>
      <w:r w:rsidR="00322EDA">
        <w:t>Fl</w:t>
      </w:r>
      <w:r w:rsidR="00B613E2" w:rsidRPr="00E25099">
        <w:t>ow experiment in May</w:t>
      </w:r>
      <w:r w:rsidR="00B613E2">
        <w:t>,</w:t>
      </w:r>
      <w:r w:rsidR="00B613E2" w:rsidRPr="00696A93">
        <w:t xml:space="preserve"> </w:t>
      </w:r>
      <w:r w:rsidR="00322EDA">
        <w:t xml:space="preserve">(c) </w:t>
      </w:r>
      <w:r w:rsidRPr="00696A93">
        <w:t xml:space="preserve">the occurrence of </w:t>
      </w:r>
      <w:r>
        <w:t xml:space="preserve">the November 2018 HFE </w:t>
      </w:r>
      <w:r w:rsidR="00B613E2">
        <w:t xml:space="preserve">prescribed hourly releases, and </w:t>
      </w:r>
      <w:r w:rsidR="00322EDA">
        <w:t xml:space="preserve">(d) </w:t>
      </w:r>
      <w:r>
        <w:t xml:space="preserve">the </w:t>
      </w:r>
      <w:r w:rsidRPr="00696A93">
        <w:t xml:space="preserve">exceptions to the </w:t>
      </w:r>
      <w:r>
        <w:t>ROD</w:t>
      </w:r>
      <w:r w:rsidRPr="00696A93">
        <w:t xml:space="preserve"> criteria </w:t>
      </w:r>
      <w:r>
        <w:t>to</w:t>
      </w:r>
      <w:r w:rsidRPr="00696A93">
        <w:t xml:space="preserve"> accommodate </w:t>
      </w:r>
      <w:r>
        <w:t>the experimental release</w:t>
      </w:r>
      <w:r w:rsidRPr="00696A93">
        <w:t>; and</w:t>
      </w:r>
      <w:r>
        <w:t xml:space="preserve"> </w:t>
      </w:r>
      <w:r>
        <w:br/>
      </w:r>
    </w:p>
    <w:p w:rsidR="00430BAC" w:rsidRDefault="00430BAC" w:rsidP="00430BAC">
      <w:pPr>
        <w:numPr>
          <w:ilvl w:val="0"/>
          <w:numId w:val="33"/>
        </w:numPr>
        <w:tabs>
          <w:tab w:val="clear" w:pos="720"/>
          <w:tab w:val="num" w:pos="810"/>
        </w:tabs>
        <w:ind w:left="810" w:hanging="450"/>
        <w:jc w:val="left"/>
      </w:pPr>
      <w:r w:rsidRPr="00D63576">
        <w:t>Counterfactual</w:t>
      </w:r>
      <w:r w:rsidR="00322EDA" w:rsidRPr="00D63576">
        <w:rPr>
          <w:b/>
        </w:rPr>
        <w:t xml:space="preserve">: </w:t>
      </w:r>
      <w:r w:rsidR="00322EDA" w:rsidRPr="00D63576">
        <w:t>a</w:t>
      </w:r>
      <w:r w:rsidRPr="00D63576">
        <w:t>ssume</w:t>
      </w:r>
      <w:r w:rsidR="00322EDA" w:rsidRPr="00D63576">
        <w:t>s (a) the same</w:t>
      </w:r>
      <w:r w:rsidRPr="00D63576">
        <w:t xml:space="preserve"> ROD operating criteria</w:t>
      </w:r>
      <w:r w:rsidR="00322EDA" w:rsidRPr="00D63576">
        <w:t xml:space="preserve"> as in the Factual case</w:t>
      </w:r>
      <w:r w:rsidRPr="00D63576">
        <w:t xml:space="preserve">, </w:t>
      </w:r>
      <w:r w:rsidR="00322EDA" w:rsidRPr="00D63576">
        <w:t xml:space="preserve">(b) </w:t>
      </w:r>
      <w:r w:rsidR="00B613E2" w:rsidRPr="00E25099">
        <w:t xml:space="preserve">the occurrence of the </w:t>
      </w:r>
      <w:r w:rsidR="00322EDA" w:rsidRPr="00E25099">
        <w:t>B</w:t>
      </w:r>
      <w:r w:rsidR="00B613E2" w:rsidRPr="00E25099">
        <w:t xml:space="preserve">ug </w:t>
      </w:r>
      <w:r w:rsidR="00322EDA" w:rsidRPr="00E25099">
        <w:t>Fl</w:t>
      </w:r>
      <w:r w:rsidR="00B613E2" w:rsidRPr="00E25099">
        <w:t>ow</w:t>
      </w:r>
      <w:r w:rsidR="00D63576">
        <w:t xml:space="preserve"> </w:t>
      </w:r>
      <w:r w:rsidR="00B613E2" w:rsidRPr="00E25099">
        <w:t>experiment in May</w:t>
      </w:r>
      <w:r w:rsidR="00B613E2" w:rsidRPr="00D63576">
        <w:t>,</w:t>
      </w:r>
      <w:r w:rsidR="00322EDA" w:rsidRPr="00D63576">
        <w:t xml:space="preserve"> (</w:t>
      </w:r>
      <w:r w:rsidR="00322EDA">
        <w:t xml:space="preserve">c) </w:t>
      </w:r>
      <w:r>
        <w:t xml:space="preserve">the absence of </w:t>
      </w:r>
      <w:r w:rsidR="002A5412">
        <w:t>the November 2018 HFE release</w:t>
      </w:r>
      <w:r w:rsidRPr="00696A93">
        <w:t xml:space="preserve">, and </w:t>
      </w:r>
      <w:r w:rsidR="00D63576">
        <w:t xml:space="preserve">(d) </w:t>
      </w:r>
      <w:r w:rsidRPr="00430BAC">
        <w:rPr>
          <w:i/>
        </w:rPr>
        <w:t>planned</w:t>
      </w:r>
      <w:r>
        <w:t xml:space="preserve"> </w:t>
      </w:r>
      <w:r w:rsidRPr="00696A93">
        <w:t xml:space="preserve">monthly release volumes </w:t>
      </w:r>
      <w:r>
        <w:t>that also comply with the ROD</w:t>
      </w:r>
      <w:r w:rsidRPr="00696A93">
        <w:t xml:space="preserve"> criteria</w:t>
      </w:r>
      <w:r w:rsidR="00D63576">
        <w:t>,</w:t>
      </w:r>
      <w:r>
        <w:t xml:space="preserve"> but</w:t>
      </w:r>
      <w:r w:rsidRPr="00696A93">
        <w:t xml:space="preserve"> differ from </w:t>
      </w:r>
      <w:r>
        <w:t>the Factual case by shifting the excess of HFE release from November to two other months among March, April, and May</w:t>
      </w:r>
      <w:r w:rsidRPr="00696A93">
        <w:t>.</w:t>
      </w:r>
    </w:p>
    <w:p w:rsidR="00E72DCA" w:rsidRDefault="00E72DCA" w:rsidP="00E72DCA"/>
    <w:p w:rsidR="00430BAC" w:rsidRPr="00696A93" w:rsidRDefault="00430BAC" w:rsidP="00430BAC">
      <w:r w:rsidRPr="00AA40A4">
        <w:t>In financial analyses of experimental releases prior to WY</w:t>
      </w:r>
      <w:r>
        <w:t xml:space="preserve"> </w:t>
      </w:r>
      <w:r w:rsidRPr="00AA40A4">
        <w:t xml:space="preserve">2014, the impacts were </w:t>
      </w:r>
      <w:r>
        <w:t xml:space="preserve">determined </w:t>
      </w:r>
      <w:r w:rsidRPr="00AA40A4">
        <w:t xml:space="preserve">from the difference in the </w:t>
      </w:r>
      <w:r w:rsidRPr="00AA40A4">
        <w:rPr>
          <w:i/>
        </w:rPr>
        <w:t>value of GCD energy</w:t>
      </w:r>
      <w:r w:rsidR="002A5412">
        <w:t xml:space="preserve"> production between</w:t>
      </w:r>
      <w:r w:rsidRPr="00AA40A4">
        <w:t xml:space="preserve"> two simulated operating </w:t>
      </w:r>
      <w:r>
        <w:t>case</w:t>
      </w:r>
      <w:r w:rsidRPr="00AA40A4">
        <w:t>s. For WY</w:t>
      </w:r>
      <w:r>
        <w:t xml:space="preserve"> </w:t>
      </w:r>
      <w:r w:rsidRPr="00AA40A4">
        <w:t>201</w:t>
      </w:r>
      <w:r>
        <w:t>9</w:t>
      </w:r>
      <w:r w:rsidRPr="00AA40A4">
        <w:t>, as for WY</w:t>
      </w:r>
      <w:r>
        <w:t xml:space="preserve"> </w:t>
      </w:r>
      <w:r w:rsidRPr="00AA40A4">
        <w:t>2014</w:t>
      </w:r>
      <w:r>
        <w:t>, WY 2015, and WY 2017</w:t>
      </w:r>
      <w:r w:rsidRPr="00AA40A4">
        <w:t>, the</w:t>
      </w:r>
      <w:r>
        <w:t xml:space="preserve"> CRSP Office</w:t>
      </w:r>
      <w:r w:rsidRPr="00AA40A4">
        <w:t xml:space="preserve"> </w:t>
      </w:r>
      <w:r>
        <w:t>monetary</w:t>
      </w:r>
      <w:r w:rsidRPr="00AA40A4">
        <w:t xml:space="preserve"> impact </w:t>
      </w:r>
      <w:r>
        <w:t>was</w:t>
      </w:r>
      <w:r w:rsidRPr="00AA40A4">
        <w:t xml:space="preserve"> assessed from the difference in </w:t>
      </w:r>
      <w:r w:rsidRPr="00AA40A4">
        <w:rPr>
          <w:i/>
        </w:rPr>
        <w:t>energy</w:t>
      </w:r>
      <w:r>
        <w:rPr>
          <w:i/>
        </w:rPr>
        <w:t>-related</w:t>
      </w:r>
      <w:r w:rsidRPr="00AA40A4">
        <w:rPr>
          <w:i/>
        </w:rPr>
        <w:t xml:space="preserve"> </w:t>
      </w:r>
      <w:r>
        <w:rPr>
          <w:i/>
        </w:rPr>
        <w:t>financial transactions</w:t>
      </w:r>
      <w:r w:rsidRPr="00AA40A4">
        <w:t>. Normally</w:t>
      </w:r>
      <w:r>
        <w:t>,</w:t>
      </w:r>
      <w:r w:rsidRPr="00AA40A4">
        <w:t xml:space="preserve"> both methods yield very similar if not identical results. This revised analytic approach was undertaken at the request of </w:t>
      </w:r>
      <w:r>
        <w:t>WAPA</w:t>
      </w:r>
      <w:r w:rsidRPr="00AA40A4">
        <w:t xml:space="preserve"> </w:t>
      </w:r>
      <w:r w:rsidR="00D63576">
        <w:t>to more accurately estimate the WAPA’s</w:t>
      </w:r>
      <w:r w:rsidRPr="00AA40A4">
        <w:t xml:space="preserve"> financial losses associated selling excess energy production at very low energy prices during the HFE release. During the experiment, </w:t>
      </w:r>
      <w:r>
        <w:t>WAPA</w:t>
      </w:r>
      <w:r w:rsidRPr="00AA40A4">
        <w:t xml:space="preserve"> sold more prescheduled energy (day-ahead bilateral market) than would have been sold if the experiment had not been conducted. This excess power was sold at an exceptionally low hourly price because EMMO staff could not find buyers </w:t>
      </w:r>
      <w:r>
        <w:t xml:space="preserve">that </w:t>
      </w:r>
      <w:r w:rsidRPr="00AA40A4">
        <w:t xml:space="preserve">were willing to pay more. Hence, these transactions incurred an additional financial </w:t>
      </w:r>
      <w:r w:rsidR="00D63576">
        <w:t>cost</w:t>
      </w:r>
      <w:r w:rsidRPr="00AA40A4">
        <w:t>.</w:t>
      </w:r>
    </w:p>
    <w:p w:rsidR="00430BAC" w:rsidRPr="00696A93" w:rsidRDefault="00430BAC" w:rsidP="00430BAC"/>
    <w:p w:rsidR="00430BAC" w:rsidRDefault="00430BAC" w:rsidP="00430BAC">
      <w:r>
        <w:t>The financial methodology used for this HFE analysis was further improved. First, instead of a single financial value for energy, separate prices were computed and applied to energy purchases and sales. This refinement was made because it was observed that during the study period the average purchase price of both real-time and day-ahead transactions was noticeably lower than the sale price. Second, hourly long and short positions were computed mimicking the procedure used in the CRSP L&amp;R spreadsheet. Third, except for GCD</w:t>
      </w:r>
      <w:r w:rsidR="00B5784E">
        <w:t>,</w:t>
      </w:r>
      <w:r>
        <w:t xml:space="preserve"> all load and resource line items were </w:t>
      </w:r>
      <w:r w:rsidRPr="008C76A9">
        <w:t xml:space="preserve">obtained from the </w:t>
      </w:r>
      <w:r w:rsidR="008C76A9" w:rsidRPr="008C76A9">
        <w:t>supervisory control and data acquisition (</w:t>
      </w:r>
      <w:r w:rsidR="00B5784E" w:rsidRPr="008C76A9">
        <w:t>SCADA</w:t>
      </w:r>
      <w:r w:rsidR="008C76A9" w:rsidRPr="008C76A9">
        <w:t>)</w:t>
      </w:r>
      <w:r w:rsidR="00B5784E" w:rsidRPr="008C76A9">
        <w:t xml:space="preserve"> hourly measurements (</w:t>
      </w:r>
      <w:r w:rsidR="008C76A9" w:rsidRPr="008C76A9">
        <w:t>WAPA 2019</w:t>
      </w:r>
      <w:r w:rsidR="00B5784E" w:rsidRPr="008C76A9">
        <w:t xml:space="preserve">) or the </w:t>
      </w:r>
      <w:r w:rsidRPr="008C76A9">
        <w:t>CRSP L&amp;R</w:t>
      </w:r>
      <w:r w:rsidR="00B5784E" w:rsidRPr="008C76A9">
        <w:t xml:space="preserve"> spreadsheet when the SCADA data for some powerplants were not available</w:t>
      </w:r>
      <w:r w:rsidRPr="008C76A9">
        <w:t xml:space="preserve">, </w:t>
      </w:r>
      <w:r w:rsidR="00B5784E" w:rsidRPr="008C76A9">
        <w:t>and</w:t>
      </w:r>
      <w:r>
        <w:t xml:space="preserve"> were treated as fixed input values under both the </w:t>
      </w:r>
      <w:r w:rsidR="00B5784E">
        <w:t>Factual and Counterfactual cases</w:t>
      </w:r>
      <w:r w:rsidR="00D63576">
        <w:t>. This methodology limited</w:t>
      </w:r>
      <w:r>
        <w:t xml:space="preserve"> the financial impact </w:t>
      </w:r>
      <w:r w:rsidR="00D63576">
        <w:t>of the HFE to</w:t>
      </w:r>
      <w:r>
        <w:t xml:space="preserve"> GCD</w:t>
      </w:r>
      <w:r w:rsidR="00D63576">
        <w:t xml:space="preserve"> because along with energy purchase and sale quantities only </w:t>
      </w:r>
      <w:r>
        <w:t>operations at GCD were used as decision variables.</w:t>
      </w:r>
    </w:p>
    <w:p w:rsidR="00430BAC" w:rsidRDefault="00430BAC" w:rsidP="00430BAC">
      <w:r>
        <w:t xml:space="preserve"> </w:t>
      </w:r>
    </w:p>
    <w:p w:rsidR="00430BAC" w:rsidRDefault="00430BAC" w:rsidP="00430BAC">
      <w:r>
        <w:t xml:space="preserve">Finally, in </w:t>
      </w:r>
      <w:r w:rsidR="00B5784E">
        <w:t xml:space="preserve">financial </w:t>
      </w:r>
      <w:r>
        <w:t>analyses</w:t>
      </w:r>
      <w:r w:rsidR="00B5784E">
        <w:t xml:space="preserve"> of experimental release prior to WY 2017</w:t>
      </w:r>
      <w:r>
        <w:t xml:space="preserve">, the GTMax model was used to simulate the system </w:t>
      </w:r>
      <w:r w:rsidRPr="00242DDE">
        <w:t xml:space="preserve">dispatch (Graziano et al. 2016; Veselka et al. 2011). For </w:t>
      </w:r>
      <w:r w:rsidR="00D15001" w:rsidRPr="00242DDE">
        <w:t>the WY 2017 analysis and the present</w:t>
      </w:r>
      <w:r w:rsidRPr="00242DDE">
        <w:t xml:space="preserve"> analysis, </w:t>
      </w:r>
      <w:r w:rsidR="005225FD">
        <w:t>GTMax</w:t>
      </w:r>
      <w:r w:rsidRPr="00242DDE">
        <w:t xml:space="preserve"> was</w:t>
      </w:r>
      <w:r>
        <w:t xml:space="preserve"> replaced by a “lighter” version called </w:t>
      </w:r>
      <w:r w:rsidR="00B76444">
        <w:t>GTMax SL</w:t>
      </w:r>
      <w:r>
        <w:t>. It is currently</w:t>
      </w:r>
      <w:r w:rsidRPr="00696A93">
        <w:t xml:space="preserve"> the main simulation tool used to </w:t>
      </w:r>
      <w:r>
        <w:t xml:space="preserve">simulate the </w:t>
      </w:r>
      <w:r w:rsidRPr="00696A93">
        <w:t xml:space="preserve">dispatch SLCA/IP hydropower plants, including </w:t>
      </w:r>
      <w:r>
        <w:t>GCD</w:t>
      </w:r>
      <w:r w:rsidRPr="00696A93">
        <w:t xml:space="preserve">. It simulates </w:t>
      </w:r>
      <w:r>
        <w:t>GCD</w:t>
      </w:r>
      <w:r w:rsidRPr="00696A93">
        <w:t xml:space="preserve"> operations</w:t>
      </w:r>
      <w:r>
        <w:t xml:space="preserve"> and</w:t>
      </w:r>
      <w:r w:rsidRPr="00696A93">
        <w:t xml:space="preserve"> also provides insights into the interplay among </w:t>
      </w:r>
      <w:r>
        <w:t xml:space="preserve">the </w:t>
      </w:r>
      <w:r w:rsidRPr="00696A93">
        <w:t xml:space="preserve">ROD operating criteria, exceptions to the criteria to accommodate experimental releases, modifications to monthly water volumes, and </w:t>
      </w:r>
      <w:r>
        <w:t>WAPA’s</w:t>
      </w:r>
      <w:r w:rsidRPr="00696A93">
        <w:t xml:space="preserve"> </w:t>
      </w:r>
      <w:r w:rsidRPr="00696A93">
        <w:rPr>
          <w:bCs/>
        </w:rPr>
        <w:t>scheduling</w:t>
      </w:r>
      <w:r w:rsidRPr="00696A93">
        <w:t xml:space="preserve"> </w:t>
      </w:r>
      <w:r w:rsidR="00B5784E">
        <w:t xml:space="preserve">guidelines and goals. The </w:t>
      </w:r>
      <w:r w:rsidR="00B76444">
        <w:t>GTMax SL</w:t>
      </w:r>
      <w:r>
        <w:t xml:space="preserve"> </w:t>
      </w:r>
      <w:r w:rsidRPr="00696A93">
        <w:t xml:space="preserve">model is supported by several other tools and databases. These support tools include </w:t>
      </w:r>
      <w:r>
        <w:t xml:space="preserve">the </w:t>
      </w:r>
      <w:r w:rsidRPr="00696A93">
        <w:t>Market Price spreadsheet, Experimental Release spreadsheet, and a Financial Value Calculation spreadsheet.</w:t>
      </w:r>
    </w:p>
    <w:p w:rsidR="00430BAC" w:rsidRDefault="00430BAC" w:rsidP="00430BAC"/>
    <w:p w:rsidR="00430BAC" w:rsidRDefault="00430BAC" w:rsidP="00430BAC">
      <w:r>
        <w:t xml:space="preserve">For each </w:t>
      </w:r>
      <w:r w:rsidR="00B5784E">
        <w:t>case</w:t>
      </w:r>
      <w:r>
        <w:t xml:space="preserve">, the </w:t>
      </w:r>
      <w:r w:rsidR="00B76444">
        <w:t>GTMax SL</w:t>
      </w:r>
      <w:r>
        <w:t xml:space="preserve"> model is run for one</w:t>
      </w:r>
      <w:r w:rsidR="00B5784E">
        <w:t xml:space="preserve"> typical week per month for </w:t>
      </w:r>
      <w:r w:rsidR="005225FD">
        <w:t xml:space="preserve">each of </w:t>
      </w:r>
      <w:r w:rsidR="00B5784E">
        <w:t xml:space="preserve">the eight first </w:t>
      </w:r>
      <w:r>
        <w:t xml:space="preserve">months </w:t>
      </w:r>
      <w:r w:rsidR="00B5784E">
        <w:t>of</w:t>
      </w:r>
      <w:r>
        <w:t xml:space="preserve"> WY </w:t>
      </w:r>
      <w:r w:rsidR="00B5784E">
        <w:t>2019</w:t>
      </w:r>
      <w:r>
        <w:t xml:space="preserve">. Weekly simulations are scaled up such that each run represents a one-month time period. </w:t>
      </w:r>
      <w:r w:rsidR="00B5784E">
        <w:t xml:space="preserve">The </w:t>
      </w:r>
      <w:r w:rsidR="00B76444">
        <w:t>GTMax SL</w:t>
      </w:r>
      <w:r>
        <w:t xml:space="preserve"> </w:t>
      </w:r>
      <w:r w:rsidRPr="00696A93">
        <w:t>model is supported by an input spreadsheet that c</w:t>
      </w:r>
      <w:r>
        <w:t xml:space="preserve">ontains </w:t>
      </w:r>
      <w:r w:rsidR="00B5784E">
        <w:t>2016</w:t>
      </w:r>
      <w:r>
        <w:t xml:space="preserve"> ROD operating criteria,</w:t>
      </w:r>
      <w:r w:rsidRPr="00696A93">
        <w:t xml:space="preserve"> </w:t>
      </w:r>
      <w:r>
        <w:t xml:space="preserve">historical and planned </w:t>
      </w:r>
      <w:r w:rsidRPr="00696A93">
        <w:t xml:space="preserve">hydropower operations data, and parameters for </w:t>
      </w:r>
      <w:r>
        <w:t>WAPA</w:t>
      </w:r>
      <w:r w:rsidRPr="00696A93">
        <w:t xml:space="preserve"> s</w:t>
      </w:r>
      <w:r w:rsidRPr="00696A93">
        <w:rPr>
          <w:bCs/>
        </w:rPr>
        <w:t>cheduling</w:t>
      </w:r>
      <w:r w:rsidRPr="00696A93">
        <w:t xml:space="preserve"> guidelines. The input spreadsheet also performs various computations and prepares input data for </w:t>
      </w:r>
      <w:r w:rsidR="00B76444">
        <w:t>GTMax SL</w:t>
      </w:r>
      <w:r w:rsidRPr="00696A93">
        <w:t xml:space="preserve">. </w:t>
      </w:r>
      <w:r w:rsidR="00B76444">
        <w:t>GTMax SL</w:t>
      </w:r>
      <w:r w:rsidRPr="00696A93">
        <w:t xml:space="preserve"> results are transferred to another spreadsheet to summarize simulation </w:t>
      </w:r>
      <w:r w:rsidRPr="00043E63">
        <w:t>results</w:t>
      </w:r>
      <w:r w:rsidRPr="00696A93">
        <w:t>,</w:t>
      </w:r>
      <w:r>
        <w:t xml:space="preserve"> </w:t>
      </w:r>
      <w:r w:rsidRPr="00696A93">
        <w:t>perform cost calculations, extrapolate weekly results to a monthly total, and produce a variety of tables and graphs.</w:t>
      </w:r>
    </w:p>
    <w:p w:rsidR="00043E63" w:rsidRDefault="00043E63" w:rsidP="00E72DCA"/>
    <w:p w:rsidR="00043E63" w:rsidRPr="00043E63" w:rsidRDefault="00B76444" w:rsidP="00043E63">
      <w:pPr>
        <w:pStyle w:val="Heading2"/>
        <w:jc w:val="left"/>
        <w:rPr>
          <w:sz w:val="24"/>
          <w:szCs w:val="24"/>
        </w:rPr>
      </w:pPr>
      <w:bookmarkStart w:id="30" w:name="_Toc19196967"/>
      <w:r>
        <w:rPr>
          <w:sz w:val="24"/>
          <w:szCs w:val="24"/>
        </w:rPr>
        <w:t>GTMax SL</w:t>
      </w:r>
      <w:r w:rsidR="00043E63" w:rsidRPr="00043E63">
        <w:rPr>
          <w:sz w:val="24"/>
          <w:szCs w:val="24"/>
        </w:rPr>
        <w:t xml:space="preserve"> Input Data for the GCD Reservoir and Powerplant</w:t>
      </w:r>
      <w:bookmarkEnd w:id="30"/>
    </w:p>
    <w:p w:rsidR="00043E63" w:rsidRDefault="00043E63" w:rsidP="00E72DCA"/>
    <w:p w:rsidR="00043E63" w:rsidRPr="00043E63" w:rsidRDefault="00043E63" w:rsidP="00043E63">
      <w:r w:rsidRPr="00043E63">
        <w:t>Data for GCD reservoir and power plant</w:t>
      </w:r>
      <w:r>
        <w:t xml:space="preserve"> input into </w:t>
      </w:r>
      <w:r w:rsidR="00B76444">
        <w:t>GTMax SL</w:t>
      </w:r>
      <w:r w:rsidRPr="00043E63">
        <w:t xml:space="preserve"> are based on planned water release </w:t>
      </w:r>
      <w:r w:rsidRPr="00242DDE">
        <w:t>volumes (Patno 2019), historical</w:t>
      </w:r>
      <w:r w:rsidRPr="00043E63">
        <w:t xml:space="preserve"> monthly </w:t>
      </w:r>
      <w:r w:rsidRPr="00242DDE">
        <w:t>statistics (Reclamation 201</w:t>
      </w:r>
      <w:r w:rsidR="00242DDE" w:rsidRPr="00242DDE">
        <w:t>9</w:t>
      </w:r>
      <w:r w:rsidRPr="00242DDE">
        <w:t>),</w:t>
      </w:r>
      <w:r w:rsidRPr="00043E63">
        <w:t xml:space="preserve"> WAPA CRSP L&amp;R spreadsheets, and </w:t>
      </w:r>
      <w:r w:rsidR="008C76A9">
        <w:t>SCADA</w:t>
      </w:r>
      <w:r w:rsidRPr="00043E63">
        <w:t xml:space="preserve"> data. This information includes water releases, </w:t>
      </w:r>
      <w:r w:rsidR="0094197B">
        <w:t xml:space="preserve">reservoir </w:t>
      </w:r>
      <w:r w:rsidRPr="00043E63">
        <w:t>forebay elevation, and power conversion factors (PCFs) at GCD. Because planned Reclamation reservoir water rel</w:t>
      </w:r>
      <w:r w:rsidR="0094197B">
        <w:t xml:space="preserve">ease data are monthly and </w:t>
      </w:r>
      <w:r w:rsidR="00B76444">
        <w:t>GTMax SL</w:t>
      </w:r>
      <w:r w:rsidRPr="00043E63">
        <w:t xml:space="preserve"> runs simulate a single week, hourly modeled releases are scaled by the number of times each hour “type” occurs during the simulated month. An hour type represents a day of the week (i.e., Monday through Sunday) and an hour of the day numbered from 1 through 24. For example, if in the month of August there are five Sundays, the </w:t>
      </w:r>
      <w:r w:rsidR="005225FD" w:rsidRPr="00043E63">
        <w:t xml:space="preserve">simulated </w:t>
      </w:r>
      <w:r w:rsidRPr="00043E63">
        <w:t xml:space="preserve">hourly water release between midnight and 1 </w:t>
      </w:r>
      <w:r w:rsidR="005225FD">
        <w:t>A</w:t>
      </w:r>
      <w:r w:rsidRPr="00043E63">
        <w:t>.</w:t>
      </w:r>
      <w:r w:rsidR="005225FD">
        <w:t>M</w:t>
      </w:r>
      <w:r w:rsidRPr="00043E63">
        <w:t xml:space="preserve">. on Sunday in the typical week simulation is scaled by five in the </w:t>
      </w:r>
      <w:r w:rsidR="00B76444">
        <w:t>GTMax SL</w:t>
      </w:r>
      <w:r w:rsidRPr="00043E63">
        <w:t xml:space="preserve"> model. This methodology therefore accounts for different daily water release volumes while respecting the total monthly water release volume.</w:t>
      </w:r>
    </w:p>
    <w:p w:rsidR="00043E63" w:rsidRPr="00043E63" w:rsidRDefault="00043E63" w:rsidP="00043E63"/>
    <w:p w:rsidR="00043E63" w:rsidRDefault="00043E63" w:rsidP="00043E63">
      <w:r w:rsidRPr="00043E63">
        <w:t xml:space="preserve">Because simulated monthly water release volumes from GCD in the </w:t>
      </w:r>
      <w:r w:rsidR="0094197B">
        <w:t>Factual and Counterfactual cases</w:t>
      </w:r>
      <w:r w:rsidRPr="00043E63">
        <w:t xml:space="preserve"> differ from historical volumes, reservoir elevation levels and PCFs are adjusted accordingly. A higher-than-historical monthly water release results in a lower-than-historical forebay elevation, and vice versa. A second-degree polynomial equation has been used to model the link between the volume of stored water and the pool elevation based on historical values (Figure 4.1). According to the coefficient of determination obtained (</w:t>
      </w:r>
      <w:r w:rsidRPr="00043E63">
        <w:rPr>
          <w:i/>
        </w:rPr>
        <w:t>R</w:t>
      </w:r>
      <w:r w:rsidRPr="00043E63">
        <w:rPr>
          <w:vertAlign w:val="superscript"/>
        </w:rPr>
        <w:t>2</w:t>
      </w:r>
      <w:r w:rsidRPr="00043E63">
        <w:t xml:space="preserve"> = 1), this polynomial curve provides an excellent representation of the relation between the volume of water stored and the pool elevation.</w:t>
      </w:r>
    </w:p>
    <w:p w:rsidR="00043E63" w:rsidRDefault="00E66BB6" w:rsidP="00043E63">
      <w:r>
        <w:rPr>
          <w:noProof/>
        </w:rPr>
        <mc:AlternateContent>
          <mc:Choice Requires="wps">
            <w:drawing>
              <wp:anchor distT="0" distB="0" distL="114300" distR="114300" simplePos="0" relativeHeight="251669504" behindDoc="0" locked="0" layoutInCell="1" allowOverlap="1" wp14:anchorId="505BEBB3" wp14:editId="6C6C5C7F">
                <wp:simplePos x="0" y="0"/>
                <wp:positionH relativeFrom="column">
                  <wp:posOffset>255905</wp:posOffset>
                </wp:positionH>
                <wp:positionV relativeFrom="paragraph">
                  <wp:posOffset>3587750</wp:posOffset>
                </wp:positionV>
                <wp:extent cx="5384165" cy="635"/>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5384165" cy="635"/>
                        </a:xfrm>
                        <a:prstGeom prst="rect">
                          <a:avLst/>
                        </a:prstGeom>
                        <a:solidFill>
                          <a:prstClr val="white"/>
                        </a:solidFill>
                        <a:ln>
                          <a:noFill/>
                        </a:ln>
                      </wps:spPr>
                      <wps:txbx>
                        <w:txbxContent>
                          <w:p w:rsidR="00E25099" w:rsidRPr="006E648C" w:rsidRDefault="00E25099" w:rsidP="00340745">
                            <w:pPr>
                              <w:pStyle w:val="Caption"/>
                              <w:jc w:val="center"/>
                            </w:pPr>
                            <w:bookmarkStart w:id="31" w:name="_Toc19196929"/>
                            <w:r>
                              <w:t xml:space="preserve">Figure </w:t>
                            </w:r>
                            <w:r w:rsidR="00CE27EE">
                              <w:rPr>
                                <w:noProof/>
                              </w:rPr>
                              <w:fldChar w:fldCharType="begin"/>
                            </w:r>
                            <w:r w:rsidR="00CE27EE">
                              <w:rPr>
                                <w:noProof/>
                              </w:rPr>
                              <w:instrText xml:space="preserve"> STYLEREF 1 \s </w:instrText>
                            </w:r>
                            <w:r w:rsidR="00CE27EE">
                              <w:rPr>
                                <w:noProof/>
                              </w:rPr>
                              <w:fldChar w:fldCharType="separate"/>
                            </w:r>
                            <w:r>
                              <w:rPr>
                                <w:noProof/>
                              </w:rPr>
                              <w:t>4</w:t>
                            </w:r>
                            <w:r w:rsidR="00CE27EE">
                              <w:rPr>
                                <w:noProof/>
                              </w:rPr>
                              <w:fldChar w:fldCharType="end"/>
                            </w:r>
                            <w:r>
                              <w:noBreakHyphen/>
                            </w:r>
                            <w:r w:rsidR="00CE27EE">
                              <w:rPr>
                                <w:noProof/>
                              </w:rPr>
                              <w:fldChar w:fldCharType="begin"/>
                            </w:r>
                            <w:r w:rsidR="00CE27EE">
                              <w:rPr>
                                <w:noProof/>
                              </w:rPr>
                              <w:instrText xml:space="preserve"> SEQ Figure \* ARABIC \s 1 </w:instrText>
                            </w:r>
                            <w:r w:rsidR="00CE27EE">
                              <w:rPr>
                                <w:noProof/>
                              </w:rPr>
                              <w:fldChar w:fldCharType="separate"/>
                            </w:r>
                            <w:r>
                              <w:rPr>
                                <w:noProof/>
                              </w:rPr>
                              <w:t>1</w:t>
                            </w:r>
                            <w:r w:rsidR="00CE27EE">
                              <w:rPr>
                                <w:noProof/>
                              </w:rPr>
                              <w:fldChar w:fldCharType="end"/>
                            </w:r>
                            <w:r>
                              <w:t xml:space="preserve"> </w:t>
                            </w:r>
                            <w:r w:rsidRPr="00340745">
                              <w:t>Fitting curve between the historical volume of stored water and the historical pool</w:t>
                            </w:r>
                            <w:r>
                              <w:t xml:space="preserve"> elevation at GCD during WY 2019</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05BEBB3" id="Text Box 13" o:spid="_x0000_s1031" type="#_x0000_t202" style="position:absolute;left:0;text-align:left;margin-left:20.15pt;margin-top:282.5pt;width:423.9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" stroked="f">
                <v:textbox style="mso-fit-shape-to-text:t" inset="0,0,0,0">
                  <w:txbxContent>
                    <w:p w:rsidR="00E25099" w:rsidRPr="006E648C" w:rsidRDefault="00E25099" w:rsidP="00340745">
                      <w:pPr>
                        <w:pStyle w:val="Caption"/>
                        <w:jc w:val="center"/>
                      </w:pPr>
                      <w:bookmarkStart w:id="34" w:name="_Toc19196929"/>
                      <w:r>
                        <w:t xml:space="preserve">Figure </w:t>
                      </w:r>
                      <w:fldSimple w:instr=" STYLEREF 1 \s ">
                        <w:r>
                          <w:rPr>
                            <w:noProof/>
                          </w:rPr>
                          <w:t>4</w:t>
                        </w:r>
                      </w:fldSimple>
                      <w:r>
                        <w:noBreakHyphen/>
                      </w:r>
                      <w:fldSimple w:instr=" SEQ Figure \* ARABIC \s 1 ">
                        <w:r>
                          <w:rPr>
                            <w:noProof/>
                          </w:rPr>
                          <w:t>1</w:t>
                        </w:r>
                      </w:fldSimple>
                      <w:r>
                        <w:t xml:space="preserve"> </w:t>
                      </w:r>
                      <w:r w:rsidRPr="00340745">
                        <w:t>Fitting curve between the historical volume of stored water and the historical pool</w:t>
                      </w:r>
                      <w:r>
                        <w:t xml:space="preserve"> elevation at GCD during WY 2019</w:t>
                      </w:r>
                      <w:bookmarkEnd w:id="34"/>
                    </w:p>
                  </w:txbxContent>
                </v:textbox>
                <w10:wrap type="topAndBottom"/>
              </v:shape>
            </w:pict>
          </mc:Fallback>
        </mc:AlternateContent>
      </w:r>
      <w:r w:rsidRPr="00340745">
        <w:rPr>
          <w:noProof/>
        </w:rPr>
        <w:drawing>
          <wp:anchor distT="0" distB="0" distL="114300" distR="114300" simplePos="0" relativeHeight="251667456" behindDoc="0" locked="0" layoutInCell="1" allowOverlap="1" wp14:anchorId="04299352" wp14:editId="1C784DD3">
            <wp:simplePos x="0" y="0"/>
            <wp:positionH relativeFrom="column">
              <wp:posOffset>255905</wp:posOffset>
            </wp:positionH>
            <wp:positionV relativeFrom="paragraph">
              <wp:posOffset>0</wp:posOffset>
            </wp:positionV>
            <wp:extent cx="5384165" cy="3526155"/>
            <wp:effectExtent l="0" t="0" r="698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84165" cy="3526155"/>
                    </a:xfrm>
                    <a:prstGeom prst="rect">
                      <a:avLst/>
                    </a:prstGeom>
                    <a:noFill/>
                    <a:ln>
                      <a:noFill/>
                    </a:ln>
                  </pic:spPr>
                </pic:pic>
              </a:graphicData>
            </a:graphic>
          </wp:anchor>
        </w:drawing>
      </w:r>
    </w:p>
    <w:p w:rsidR="00EB6D63" w:rsidRDefault="00EB6D63" w:rsidP="00EB6D63">
      <w:pPr>
        <w:keepLines/>
      </w:pPr>
      <w:r>
        <w:t xml:space="preserve">The volumes of stored water in each month at GCD </w:t>
      </w:r>
      <w:r w:rsidRPr="00ED512B">
        <w:t xml:space="preserve">under </w:t>
      </w:r>
      <w:r>
        <w:t>a given case (Factual or Counterfactual case)</w:t>
      </w:r>
      <w:r w:rsidRPr="00ED512B">
        <w:t xml:space="preserve"> are calculated based on the differences of monthly water releases </w:t>
      </w:r>
      <w:r>
        <w:t>between th</w:t>
      </w:r>
      <w:r w:rsidR="00C71D4B">
        <w:t>is</w:t>
      </w:r>
      <w:r>
        <w:t xml:space="preserve"> case</w:t>
      </w:r>
      <w:r w:rsidRPr="00ED512B">
        <w:t xml:space="preserve"> </w:t>
      </w:r>
      <w:r>
        <w:t>and</w:t>
      </w:r>
      <w:r w:rsidRPr="00ED512B">
        <w:t xml:space="preserve"> the </w:t>
      </w:r>
      <w:r>
        <w:t>historical data</w:t>
      </w:r>
      <w:r w:rsidRPr="00ED512B">
        <w:t>. Then the pool elevation at G</w:t>
      </w:r>
      <w:r>
        <w:t>CD under the given case</w:t>
      </w:r>
      <w:r w:rsidRPr="00ED512B">
        <w:t xml:space="preserve"> is</w:t>
      </w:r>
      <w:r>
        <w:t xml:space="preserve"> estimated based on the previously calculated volume of stored water and the polynomial equation illustrated in Figure 4.1. More details about these calculations can be found in section 4.5.1 of </w:t>
      </w:r>
      <w:r w:rsidRPr="00C25D62">
        <w:rPr>
          <w:i/>
        </w:rPr>
        <w:t xml:space="preserve">Revised Financial Analysis of </w:t>
      </w:r>
      <w:r w:rsidRPr="00242DDE">
        <w:rPr>
          <w:i/>
        </w:rPr>
        <w:t>Experimental Releases Conducted at Glen Canyon Dam during Water Years 1997 through 2005</w:t>
      </w:r>
      <w:r w:rsidRPr="00242DDE">
        <w:t xml:space="preserve"> (Veselka et al. 2011).</w:t>
      </w:r>
    </w:p>
    <w:p w:rsidR="00EB6D63" w:rsidRDefault="00EB6D63" w:rsidP="00EB6D63">
      <w:pPr>
        <w:keepLines/>
      </w:pPr>
    </w:p>
    <w:p w:rsidR="00EB6D63" w:rsidRDefault="00EB6D63" w:rsidP="00EB6D63">
      <w:pPr>
        <w:keepLines/>
      </w:pPr>
      <w:r>
        <w:t xml:space="preserve">The factor that relates the conversion of Lake Powell turbine </w:t>
      </w:r>
      <w:r w:rsidR="00C71D4B">
        <w:t xml:space="preserve">water </w:t>
      </w:r>
      <w:r>
        <w:t xml:space="preserve">releases to power generation, referred to as a PCF, is primarily driven by the reservoir forebay elevation. Therefore, a different reservoir elevation under the simulated scenarios shown in Table 2.2 implies a different PCF than the one that historically occurred. To compute the monthly PCF under both types of cases, first the least-squares fit between Lake Powell historical end-of-month forebay elevation and the GCD PCF during WY 2019, as depicted in Figure 4.2, was computed. In this case, there is no linear curve that perfectly correlates PCF and the forebay elevation. However, there is clearly a strong relationship between the two sets of data. The linear fit results in a coefficient of determination of 0.82. </w:t>
      </w:r>
    </w:p>
    <w:p w:rsidR="00EB6D63" w:rsidRDefault="00EB6D63" w:rsidP="00EB6D63">
      <w:pPr>
        <w:keepLines/>
      </w:pPr>
    </w:p>
    <w:p w:rsidR="00043E63" w:rsidRDefault="00EB6D63" w:rsidP="00340745">
      <w:r>
        <w:t xml:space="preserve">Next, the PCF used in a given </w:t>
      </w:r>
      <w:r w:rsidR="0001184F">
        <w:t>case</w:t>
      </w:r>
      <w:r>
        <w:t xml:space="preserve"> (</w:t>
      </w:r>
      <w:r w:rsidR="0001184F">
        <w:t>Factual or Counterfactual case</w:t>
      </w:r>
      <w:r>
        <w:t>) in each month is computed by adjusting the historical PCF based on the slope of the linear fit in Figure 4.2 and the change of the forebay elevation under the given scena</w:t>
      </w:r>
      <w:r w:rsidR="0001184F">
        <w:t>rio. For instance, in March 2019</w:t>
      </w:r>
      <w:r>
        <w:t>, the historical forebay elevation at GCD is 3,</w:t>
      </w:r>
      <w:r w:rsidR="0001184F">
        <w:t>569.28</w:t>
      </w:r>
      <w:r>
        <w:t xml:space="preserve"> ft, whereas it is 3,</w:t>
      </w:r>
      <w:r w:rsidR="0001184F">
        <w:t>568.81</w:t>
      </w:r>
      <w:r>
        <w:t xml:space="preserve"> ft under the </w:t>
      </w:r>
      <w:r w:rsidR="0001184F">
        <w:t>Factual case</w:t>
      </w:r>
      <w:r>
        <w:t xml:space="preserve">. During the same month, the historical PCF is equal to </w:t>
      </w:r>
      <w:r w:rsidR="0001184F">
        <w:t>410.71</w:t>
      </w:r>
      <w:r>
        <w:t xml:space="preserve"> kWh/AF. The slope from Figure 4.2 shows that there is an increase of approximately </w:t>
      </w:r>
      <w:r w:rsidR="0001184F">
        <w:t>0.8662</w:t>
      </w:r>
      <w:r>
        <w:t xml:space="preserve"> kWh/AF in the PCF for each additional foot in the forebay elevation. Thus, it is estimated that the PCF under the </w:t>
      </w:r>
      <w:r w:rsidR="0001184F">
        <w:t>Factual case</w:t>
      </w:r>
      <w:r>
        <w:t xml:space="preserve"> during this month will be equal to</w:t>
      </w:r>
    </w:p>
    <w:p w:rsidR="00EB6D63" w:rsidRDefault="00EB6D63" w:rsidP="00340745"/>
    <w:p w:rsidR="0001184F" w:rsidRPr="0001184F" w:rsidRDefault="0001184F" w:rsidP="0001184F">
      <w:pPr>
        <w:keepLines/>
        <w:ind w:firstLine="720"/>
        <w:rPr>
          <w:b/>
        </w:rPr>
      </w:pPr>
      <w:r>
        <w:t xml:space="preserve">410.71 </w:t>
      </w:r>
      <w:r w:rsidRPr="00774E85">
        <w:t>+</w:t>
      </w:r>
      <w:r>
        <w:t xml:space="preserve"> 0.8662 </w:t>
      </w:r>
      <w:r w:rsidRPr="00774E85">
        <w:t>×</w:t>
      </w:r>
      <w:r>
        <w:t xml:space="preserve"> </w:t>
      </w:r>
      <w:r w:rsidRPr="00774E85">
        <w:t>(3,</w:t>
      </w:r>
      <w:r>
        <w:t xml:space="preserve">568.81 − </w:t>
      </w:r>
      <w:r w:rsidRPr="00774E85">
        <w:t>3,</w:t>
      </w:r>
      <w:r>
        <w:t>569.28</w:t>
      </w:r>
      <w:r w:rsidRPr="00774E85">
        <w:t>)</w:t>
      </w:r>
      <w:r>
        <w:t xml:space="preserve"> </w:t>
      </w:r>
      <w:r w:rsidRPr="00774E85">
        <w:t>=</w:t>
      </w:r>
      <w:r>
        <w:t xml:space="preserve"> 410.30</w:t>
      </w:r>
      <w:r w:rsidRPr="00BD3A86">
        <w:t xml:space="preserve"> kWh/AF</w:t>
      </w:r>
      <w:r>
        <w:rPr>
          <w:b/>
        </w:rPr>
        <w:t>.</w:t>
      </w:r>
    </w:p>
    <w:p w:rsidR="00EB6D63" w:rsidRDefault="00D801D4" w:rsidP="00340745">
      <w:r w:rsidRPr="00D801D4">
        <w:rPr>
          <w:noProof/>
        </w:rPr>
        <w:drawing>
          <wp:anchor distT="0" distB="0" distL="114300" distR="114300" simplePos="0" relativeHeight="251673600" behindDoc="0" locked="0" layoutInCell="1" allowOverlap="1" wp14:anchorId="6E17434E" wp14:editId="3B1E27AB">
            <wp:simplePos x="0" y="0"/>
            <wp:positionH relativeFrom="column">
              <wp:posOffset>33513</wp:posOffset>
            </wp:positionH>
            <wp:positionV relativeFrom="paragraph">
              <wp:posOffset>292100</wp:posOffset>
            </wp:positionV>
            <wp:extent cx="5943600" cy="3819525"/>
            <wp:effectExtent l="0" t="0" r="0" b="952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819525"/>
                    </a:xfrm>
                    <a:prstGeom prst="rect">
                      <a:avLst/>
                    </a:prstGeom>
                    <a:noFill/>
                    <a:ln>
                      <a:noFill/>
                    </a:ln>
                  </pic:spPr>
                </pic:pic>
              </a:graphicData>
            </a:graphic>
          </wp:anchor>
        </w:drawing>
      </w:r>
      <w:r w:rsidR="00EB6D63">
        <w:rPr>
          <w:noProof/>
        </w:rPr>
        <mc:AlternateContent>
          <mc:Choice Requires="wps">
            <w:drawing>
              <wp:anchor distT="0" distB="0" distL="114300" distR="114300" simplePos="0" relativeHeight="251672576" behindDoc="0" locked="0" layoutInCell="1" allowOverlap="1" wp14:anchorId="0181F3FB" wp14:editId="46F71C9E">
                <wp:simplePos x="0" y="0"/>
                <wp:positionH relativeFrom="column">
                  <wp:posOffset>0</wp:posOffset>
                </wp:positionH>
                <wp:positionV relativeFrom="paragraph">
                  <wp:posOffset>4173220</wp:posOffset>
                </wp:positionV>
                <wp:extent cx="5943600" cy="635"/>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E25099" w:rsidRPr="00DA46C8" w:rsidRDefault="00E25099" w:rsidP="00EB6D63">
                            <w:pPr>
                              <w:pStyle w:val="Caption"/>
                              <w:jc w:val="center"/>
                            </w:pPr>
                            <w:bookmarkStart w:id="32" w:name="_Toc19196930"/>
                            <w:r>
                              <w:t xml:space="preserve">Figure </w:t>
                            </w:r>
                            <w:r w:rsidR="00CE27EE">
                              <w:rPr>
                                <w:noProof/>
                              </w:rPr>
                              <w:fldChar w:fldCharType="begin"/>
                            </w:r>
                            <w:r w:rsidR="00CE27EE">
                              <w:rPr>
                                <w:noProof/>
                              </w:rPr>
                              <w:instrText xml:space="preserve"> STYLEREF 1 \s </w:instrText>
                            </w:r>
                            <w:r w:rsidR="00CE27EE">
                              <w:rPr>
                                <w:noProof/>
                              </w:rPr>
                              <w:fldChar w:fldCharType="separate"/>
                            </w:r>
                            <w:r>
                              <w:rPr>
                                <w:noProof/>
                              </w:rPr>
                              <w:t>4</w:t>
                            </w:r>
                            <w:r w:rsidR="00CE27EE">
                              <w:rPr>
                                <w:noProof/>
                              </w:rPr>
                              <w:fldChar w:fldCharType="end"/>
                            </w:r>
                            <w:r>
                              <w:noBreakHyphen/>
                            </w:r>
                            <w:r w:rsidR="00CE27EE">
                              <w:rPr>
                                <w:noProof/>
                              </w:rPr>
                              <w:fldChar w:fldCharType="begin"/>
                            </w:r>
                            <w:r w:rsidR="00CE27EE">
                              <w:rPr>
                                <w:noProof/>
                              </w:rPr>
                              <w:instrText xml:space="preserve"> SEQ Figure \* ARABIC \s 1 </w:instrText>
                            </w:r>
                            <w:r w:rsidR="00CE27EE">
                              <w:rPr>
                                <w:noProof/>
                              </w:rPr>
                              <w:fldChar w:fldCharType="separate"/>
                            </w:r>
                            <w:r>
                              <w:rPr>
                                <w:noProof/>
                              </w:rPr>
                              <w:t>2</w:t>
                            </w:r>
                            <w:r w:rsidR="00CE27EE">
                              <w:rPr>
                                <w:noProof/>
                              </w:rPr>
                              <w:fldChar w:fldCharType="end"/>
                            </w:r>
                            <w:r>
                              <w:t xml:space="preserve"> </w:t>
                            </w:r>
                            <w:r w:rsidRPr="00EB6D63">
                              <w:t xml:space="preserve">Relation between the historical PCF and the historical pool elevation at GCD during WY </w:t>
                            </w:r>
                            <w:r>
                              <w:t>2019</w:t>
                            </w:r>
                            <w:bookmarkEnd w:id="3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181F3FB" id="Text Box 15" o:spid="_x0000_s1032" type="#_x0000_t202" style="position:absolute;left:0;text-align:left;margin-left:0;margin-top:328.6pt;width:468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" stroked="f">
                <v:textbox style="mso-fit-shape-to-text:t" inset="0,0,0,0">
                  <w:txbxContent>
                    <w:p w:rsidR="00E25099" w:rsidRPr="00DA46C8" w:rsidRDefault="00E25099" w:rsidP="00EB6D63">
                      <w:pPr>
                        <w:pStyle w:val="Caption"/>
                        <w:jc w:val="center"/>
                      </w:pPr>
                      <w:bookmarkStart w:id="36" w:name="_Toc19196930"/>
                      <w:r>
                        <w:t xml:space="preserve">Figure </w:t>
                      </w:r>
                      <w:fldSimple w:instr=" STYLEREF 1 \s ">
                        <w:r>
                          <w:rPr>
                            <w:noProof/>
                          </w:rPr>
                          <w:t>4</w:t>
                        </w:r>
                      </w:fldSimple>
                      <w:r>
                        <w:noBreakHyphen/>
                      </w:r>
                      <w:fldSimple w:instr=" SEQ Figure \* ARABIC \s 1 ">
                        <w:r>
                          <w:rPr>
                            <w:noProof/>
                          </w:rPr>
                          <w:t>2</w:t>
                        </w:r>
                      </w:fldSimple>
                      <w:r>
                        <w:t xml:space="preserve"> </w:t>
                      </w:r>
                      <w:r w:rsidRPr="00EB6D63">
                        <w:t xml:space="preserve">Relation between the historical PCF and the historical pool elevation at GCD during WY </w:t>
                      </w:r>
                      <w:r>
                        <w:t>2019</w:t>
                      </w:r>
                      <w:bookmarkEnd w:id="36"/>
                    </w:p>
                  </w:txbxContent>
                </v:textbox>
                <w10:wrap type="topAndBottom"/>
              </v:shape>
            </w:pict>
          </mc:Fallback>
        </mc:AlternateContent>
      </w:r>
      <w:r w:rsidRPr="00D801D4">
        <w:t xml:space="preserve"> </w:t>
      </w:r>
    </w:p>
    <w:p w:rsidR="00EB6D63" w:rsidRDefault="00EB6D63" w:rsidP="00340745"/>
    <w:p w:rsidR="0001184F" w:rsidRPr="00ED512B" w:rsidRDefault="0001184F" w:rsidP="0001184F">
      <w:pPr>
        <w:keepLines/>
        <w:rPr>
          <w:highlight w:val="yellow"/>
        </w:rPr>
      </w:pPr>
      <w:r w:rsidRPr="00ED512B">
        <w:t>The maximum output capability (Output) at GCD is computed monthly. It is the minimum of (1) the physical capacity of the power plant turbines and (2) the maximum production level based on the forebay</w:t>
      </w:r>
      <w:r w:rsidR="00C71D4B">
        <w:t xml:space="preserve"> elevation</w:t>
      </w:r>
      <w:r w:rsidRPr="00ED512B">
        <w:t>. Further details</w:t>
      </w:r>
      <w:r>
        <w:t xml:space="preserve"> about the way the maximum output capability is computed</w:t>
      </w:r>
      <w:r w:rsidRPr="00ED512B">
        <w:t xml:space="preserve"> can be found</w:t>
      </w:r>
      <w:r>
        <w:t xml:space="preserve"> in section 4.5.1 of </w:t>
      </w:r>
      <w:r w:rsidRPr="004D6C61">
        <w:rPr>
          <w:i/>
        </w:rPr>
        <w:t>Revised Financial Analysis of Experimental Releases Conducted at Glen Canyon Dam during Water Years 1997 through 2005</w:t>
      </w:r>
      <w:r>
        <w:t xml:space="preserve"> </w:t>
      </w:r>
      <w:r w:rsidRPr="00C52B6E">
        <w:t>(Veselka et al. 2011)</w:t>
      </w:r>
      <w:r>
        <w:t>.</w:t>
      </w:r>
    </w:p>
    <w:p w:rsidR="0001184F" w:rsidRPr="00ED512B" w:rsidRDefault="0001184F" w:rsidP="0001184F">
      <w:pPr>
        <w:keepLines/>
        <w:rPr>
          <w:highlight w:val="yellow"/>
        </w:rPr>
      </w:pPr>
    </w:p>
    <w:p w:rsidR="0001184F" w:rsidRDefault="0001184F" w:rsidP="0001184F">
      <w:r w:rsidRPr="00ED512B">
        <w:t>Further adjustments are made to the maximum generation level at the GCD Powerplant to account for unit outages. These adjustments include all types of outages, both scheduled and random, that take units off-line because of unforeseen problems at the plant. Historic</w:t>
      </w:r>
      <w:r>
        <w:t>al</w:t>
      </w:r>
      <w:r w:rsidRPr="00ED512B">
        <w:t xml:space="preserve"> outage levels provided by </w:t>
      </w:r>
      <w:r w:rsidRPr="00242DDE">
        <w:t>Reclamation (Bishop 2019) were</w:t>
      </w:r>
      <w:r w:rsidRPr="00ED512B">
        <w:t xml:space="preserve"> used to compute monthly outage factors. These factors were used to derate the maximum output of the plant as computed by the process described above. For example, if one and only one </w:t>
      </w:r>
      <w:r w:rsidRPr="00B24DB5">
        <w:t xml:space="preserve">of the </w:t>
      </w:r>
      <w:r>
        <w:t>eight</w:t>
      </w:r>
      <w:r w:rsidRPr="00B24DB5">
        <w:t xml:space="preserve"> turbines at GCD </w:t>
      </w:r>
      <w:r w:rsidRPr="00ED512B">
        <w:t xml:space="preserve">was out of service for a month, the maximum output was reduced by approximately 12.5% (i.e., </w:t>
      </w:r>
      <w:r>
        <w:t>one-eighth</w:t>
      </w:r>
      <w:r w:rsidRPr="00ED512B">
        <w:t>).</w:t>
      </w:r>
    </w:p>
    <w:p w:rsidR="00EB6D63" w:rsidRDefault="00EB6D63" w:rsidP="00340745"/>
    <w:p w:rsidR="00E66BB6" w:rsidRPr="00043E63" w:rsidRDefault="00E66BB6" w:rsidP="00E66BB6">
      <w:pPr>
        <w:pStyle w:val="Heading2"/>
        <w:jc w:val="left"/>
        <w:rPr>
          <w:sz w:val="24"/>
          <w:szCs w:val="24"/>
        </w:rPr>
      </w:pPr>
      <w:bookmarkStart w:id="33" w:name="_Toc19196968"/>
      <w:r w:rsidRPr="00E66BB6">
        <w:rPr>
          <w:sz w:val="24"/>
          <w:szCs w:val="24"/>
        </w:rPr>
        <w:t>Model Input Data for Other SLCA/IP Supply Resources</w:t>
      </w:r>
      <w:bookmarkEnd w:id="33"/>
    </w:p>
    <w:p w:rsidR="00E66BB6" w:rsidRDefault="00E66BB6" w:rsidP="00340745"/>
    <w:p w:rsidR="00E66BB6" w:rsidRDefault="00E66BB6" w:rsidP="00E66BB6">
      <w:r>
        <w:t>In order to isolate the financial cost of conducting the November 2018 HFE to only GCD</w:t>
      </w:r>
      <w:r w:rsidRPr="007C6DAA">
        <w:t xml:space="preserve">, the </w:t>
      </w:r>
      <w:r>
        <w:t>energy supplied by all SLCA/IP sources</w:t>
      </w:r>
      <w:r w:rsidRPr="007C6DAA">
        <w:t xml:space="preserve"> except GCD is not optimized by the </w:t>
      </w:r>
      <w:r w:rsidR="00B76444">
        <w:t>GTMax SL</w:t>
      </w:r>
      <w:r w:rsidRPr="007C6DAA">
        <w:t xml:space="preserve"> Model. Instead, the </w:t>
      </w:r>
      <w:r>
        <w:t>hourly energy supplied by other SLCA/IP sources</w:t>
      </w:r>
      <w:r w:rsidRPr="007C6DAA">
        <w:t xml:space="preserve"> is fixed and aggregated into a single equivalent generation profile representing their historical values. More specifically, th</w:t>
      </w:r>
      <w:r>
        <w:t>e</w:t>
      </w:r>
      <w:r w:rsidRPr="007C6DAA">
        <w:t xml:space="preserve"> </w:t>
      </w:r>
      <w:r>
        <w:t>total supply from these resources as defined by the EMMO CRSP L&amp;R spreadsheet includes the following:</w:t>
      </w:r>
    </w:p>
    <w:p w:rsidR="00E66BB6" w:rsidRPr="007C6DAA" w:rsidRDefault="00E66BB6" w:rsidP="00E66BB6">
      <w:r>
        <w:t xml:space="preserve"> </w:t>
      </w:r>
    </w:p>
    <w:p w:rsidR="00E66BB6" w:rsidRPr="007C6DAA" w:rsidRDefault="00E66BB6" w:rsidP="00E66BB6">
      <w:pPr>
        <w:pStyle w:val="ListParagraph"/>
        <w:numPr>
          <w:ilvl w:val="0"/>
          <w:numId w:val="34"/>
        </w:numPr>
        <w:spacing w:line="240" w:lineRule="auto"/>
        <w:jc w:val="left"/>
        <w:rPr>
          <w:rFonts w:ascii="CG Times (W1)" w:hAnsi="CG Times (W1)"/>
        </w:rPr>
      </w:pPr>
      <w:r w:rsidRPr="007C6DAA">
        <w:rPr>
          <w:rFonts w:ascii="CG Times (W1)" w:hAnsi="CG Times (W1)"/>
        </w:rPr>
        <w:t>Flaming Gorge</w:t>
      </w:r>
      <w:r>
        <w:rPr>
          <w:rFonts w:ascii="CG Times (W1)" w:hAnsi="CG Times (W1)"/>
        </w:rPr>
        <w:t xml:space="preserve"> hydropower generation, </w:t>
      </w:r>
    </w:p>
    <w:p w:rsidR="00E66BB6" w:rsidRPr="007C6DAA" w:rsidRDefault="00E66BB6" w:rsidP="00E66BB6">
      <w:pPr>
        <w:pStyle w:val="ListParagraph"/>
        <w:numPr>
          <w:ilvl w:val="0"/>
          <w:numId w:val="34"/>
        </w:numPr>
        <w:spacing w:line="240" w:lineRule="auto"/>
        <w:jc w:val="left"/>
        <w:rPr>
          <w:rFonts w:ascii="CG Times (W1)" w:hAnsi="CG Times (W1)"/>
        </w:rPr>
      </w:pPr>
      <w:r w:rsidRPr="007C6DAA">
        <w:rPr>
          <w:rFonts w:ascii="CG Times (W1)" w:hAnsi="CG Times (W1)"/>
        </w:rPr>
        <w:t>Blue Mesa</w:t>
      </w:r>
      <w:r>
        <w:rPr>
          <w:rFonts w:ascii="CG Times (W1)" w:hAnsi="CG Times (W1)"/>
        </w:rPr>
        <w:t xml:space="preserve"> hydropower generation,</w:t>
      </w:r>
    </w:p>
    <w:p w:rsidR="00E66BB6" w:rsidRPr="007C6DAA" w:rsidRDefault="00E66BB6" w:rsidP="00E66BB6">
      <w:pPr>
        <w:pStyle w:val="ListParagraph"/>
        <w:numPr>
          <w:ilvl w:val="0"/>
          <w:numId w:val="34"/>
        </w:numPr>
        <w:spacing w:line="240" w:lineRule="auto"/>
        <w:jc w:val="left"/>
        <w:rPr>
          <w:rFonts w:ascii="CG Times (W1)" w:hAnsi="CG Times (W1)"/>
        </w:rPr>
      </w:pPr>
      <w:r w:rsidRPr="007C6DAA">
        <w:rPr>
          <w:rFonts w:ascii="CG Times (W1)" w:hAnsi="CG Times (W1)"/>
        </w:rPr>
        <w:t>Morrow Point</w:t>
      </w:r>
      <w:r>
        <w:rPr>
          <w:rFonts w:ascii="CG Times (W1)" w:hAnsi="CG Times (W1)"/>
        </w:rPr>
        <w:t xml:space="preserve"> hydropower generation,</w:t>
      </w:r>
    </w:p>
    <w:p w:rsidR="00E66BB6" w:rsidRPr="008F1379" w:rsidRDefault="00E66BB6" w:rsidP="00E66BB6">
      <w:pPr>
        <w:pStyle w:val="ListParagraph"/>
        <w:numPr>
          <w:ilvl w:val="0"/>
          <w:numId w:val="34"/>
        </w:numPr>
        <w:spacing w:line="240" w:lineRule="auto"/>
        <w:jc w:val="left"/>
        <w:rPr>
          <w:rFonts w:ascii="CG Times (W1)" w:hAnsi="CG Times (W1)"/>
        </w:rPr>
      </w:pPr>
      <w:r w:rsidRPr="007C6DAA">
        <w:rPr>
          <w:rFonts w:ascii="CG Times (W1)" w:hAnsi="CG Times (W1)"/>
        </w:rPr>
        <w:t>Crystal</w:t>
      </w:r>
      <w:r>
        <w:rPr>
          <w:rFonts w:ascii="CG Times (W1)" w:hAnsi="CG Times (W1)"/>
        </w:rPr>
        <w:t xml:space="preserve"> hydropower generation,</w:t>
      </w:r>
    </w:p>
    <w:p w:rsidR="00E66BB6" w:rsidRPr="008F1379" w:rsidRDefault="00E66BB6" w:rsidP="00E66BB6">
      <w:pPr>
        <w:pStyle w:val="ListParagraph"/>
        <w:numPr>
          <w:ilvl w:val="0"/>
          <w:numId w:val="34"/>
        </w:numPr>
        <w:spacing w:line="240" w:lineRule="auto"/>
        <w:jc w:val="left"/>
        <w:rPr>
          <w:rFonts w:ascii="CG Times (W1)" w:hAnsi="CG Times (W1)"/>
        </w:rPr>
      </w:pPr>
      <w:r w:rsidRPr="007C6DAA">
        <w:rPr>
          <w:rFonts w:ascii="CG Times (W1)" w:hAnsi="CG Times (W1)"/>
        </w:rPr>
        <w:t>Fontenelle</w:t>
      </w:r>
      <w:r w:rsidRPr="005731C9">
        <w:rPr>
          <w:rFonts w:ascii="CG Times (W1)" w:hAnsi="CG Times (W1)"/>
        </w:rPr>
        <w:t xml:space="preserve"> </w:t>
      </w:r>
      <w:r>
        <w:rPr>
          <w:rFonts w:ascii="CG Times (W1)" w:hAnsi="CG Times (W1)"/>
        </w:rPr>
        <w:t>hydropower generation,</w:t>
      </w:r>
    </w:p>
    <w:p w:rsidR="00E66BB6" w:rsidRPr="008F1379" w:rsidRDefault="00E66BB6" w:rsidP="00E66BB6">
      <w:pPr>
        <w:pStyle w:val="ListParagraph"/>
        <w:numPr>
          <w:ilvl w:val="0"/>
          <w:numId w:val="34"/>
        </w:numPr>
        <w:spacing w:line="240" w:lineRule="auto"/>
        <w:jc w:val="left"/>
        <w:rPr>
          <w:rFonts w:ascii="CG Times (W1)" w:hAnsi="CG Times (W1)"/>
        </w:rPr>
      </w:pPr>
      <w:r>
        <w:rPr>
          <w:rFonts w:ascii="CG Times (W1)" w:hAnsi="CG Times (W1)"/>
        </w:rPr>
        <w:t xml:space="preserve">Upper and Lower </w:t>
      </w:r>
      <w:r w:rsidRPr="007C6DAA">
        <w:rPr>
          <w:rFonts w:ascii="CG Times (W1)" w:hAnsi="CG Times (W1)"/>
        </w:rPr>
        <w:t>Molina</w:t>
      </w:r>
      <w:r>
        <w:rPr>
          <w:rFonts w:ascii="CG Times (W1)" w:hAnsi="CG Times (W1)"/>
        </w:rPr>
        <w:t xml:space="preserve"> hydropower generation,</w:t>
      </w:r>
    </w:p>
    <w:p w:rsidR="00E66BB6" w:rsidRPr="008F1379" w:rsidRDefault="00E66BB6" w:rsidP="00E66BB6">
      <w:pPr>
        <w:pStyle w:val="ListParagraph"/>
        <w:numPr>
          <w:ilvl w:val="0"/>
          <w:numId w:val="34"/>
        </w:numPr>
        <w:spacing w:line="240" w:lineRule="auto"/>
        <w:jc w:val="left"/>
        <w:rPr>
          <w:rFonts w:ascii="CG Times (W1)" w:hAnsi="CG Times (W1)"/>
        </w:rPr>
      </w:pPr>
      <w:r w:rsidRPr="007C6DAA">
        <w:rPr>
          <w:rFonts w:ascii="CG Times (W1)" w:hAnsi="CG Times (W1)"/>
        </w:rPr>
        <w:t>Deer Creek</w:t>
      </w:r>
      <w:r>
        <w:rPr>
          <w:rFonts w:ascii="CG Times (W1)" w:hAnsi="CG Times (W1)"/>
        </w:rPr>
        <w:t xml:space="preserve"> hydropower generation, and,</w:t>
      </w:r>
    </w:p>
    <w:p w:rsidR="00E66BB6" w:rsidRDefault="00E66BB6" w:rsidP="00E66BB6">
      <w:pPr>
        <w:pStyle w:val="ListParagraph"/>
        <w:numPr>
          <w:ilvl w:val="0"/>
          <w:numId w:val="34"/>
        </w:numPr>
      </w:pPr>
      <w:r w:rsidRPr="007C6DAA">
        <w:rPr>
          <w:rFonts w:ascii="CG Times (W1)" w:hAnsi="CG Times (W1)"/>
        </w:rPr>
        <w:t xml:space="preserve">Energy </w:t>
      </w:r>
      <w:r>
        <w:rPr>
          <w:rFonts w:ascii="CG Times (W1)" w:hAnsi="CG Times (W1)"/>
        </w:rPr>
        <w:t xml:space="preserve">exchange </w:t>
      </w:r>
      <w:r w:rsidRPr="007C6DAA">
        <w:rPr>
          <w:rFonts w:ascii="CG Times (W1)" w:hAnsi="CG Times (W1)"/>
        </w:rPr>
        <w:t>into the SLCA/IP</w:t>
      </w:r>
      <w:r w:rsidRPr="007C6DAA">
        <w:t xml:space="preserve"> system</w:t>
      </w:r>
      <w:r>
        <w:t>.</w:t>
      </w:r>
    </w:p>
    <w:p w:rsidR="00E66BB6" w:rsidRPr="007C6DAA" w:rsidRDefault="00E66BB6" w:rsidP="00E66BB6">
      <w:pPr>
        <w:pStyle w:val="ListParagraph"/>
      </w:pPr>
    </w:p>
    <w:p w:rsidR="00E66BB6" w:rsidRDefault="00E66BB6" w:rsidP="00E66BB6">
      <w:r>
        <w:t xml:space="preserve">Power plant generation data </w:t>
      </w:r>
      <w:r w:rsidRPr="005874DB">
        <w:t xml:space="preserve">are </w:t>
      </w:r>
      <w:r>
        <w:t xml:space="preserve">from SCADA </w:t>
      </w:r>
      <w:r w:rsidRPr="008C76A9">
        <w:t xml:space="preserve">information </w:t>
      </w:r>
      <w:r w:rsidR="00DA47E7" w:rsidRPr="008C76A9">
        <w:t>(WAPA 2019</w:t>
      </w:r>
      <w:r w:rsidRPr="008C76A9">
        <w:t>). However</w:t>
      </w:r>
      <w:r>
        <w:t xml:space="preserve">, when data are missing, </w:t>
      </w:r>
      <w:r w:rsidRPr="00506A4F">
        <w:t xml:space="preserve">pre-scheduled operations </w:t>
      </w:r>
      <w:r>
        <w:t>contained in historical</w:t>
      </w:r>
      <w:r w:rsidRPr="00506A4F">
        <w:t xml:space="preserve"> </w:t>
      </w:r>
      <w:r w:rsidRPr="005024E0">
        <w:t xml:space="preserve">EMMO </w:t>
      </w:r>
      <w:r w:rsidR="005024E0" w:rsidRPr="005024E0">
        <w:t>(Dean 2019</w:t>
      </w:r>
      <w:r w:rsidR="006219B4">
        <w:t>a</w:t>
      </w:r>
      <w:r w:rsidRPr="005024E0">
        <w:t>)</w:t>
      </w:r>
      <w:r>
        <w:t xml:space="preserve"> L&amp;R files are used as a surrogate.</w:t>
      </w:r>
    </w:p>
    <w:p w:rsidR="00E66BB6" w:rsidRPr="007C6DAA" w:rsidRDefault="00E66BB6" w:rsidP="00E66BB6"/>
    <w:p w:rsidR="00E66BB6" w:rsidRPr="00ED512B" w:rsidRDefault="00E66BB6" w:rsidP="00E66BB6">
      <w:pPr>
        <w:rPr>
          <w:rFonts w:ascii="CG Times (W1)" w:hAnsi="CG Times (W1)"/>
        </w:rPr>
      </w:pPr>
      <w:r>
        <w:rPr>
          <w:rFonts w:ascii="CG Times (W1)" w:hAnsi="CG Times (W1)"/>
        </w:rPr>
        <w:t>A</w:t>
      </w:r>
      <w:r w:rsidRPr="004940F0">
        <w:rPr>
          <w:rFonts w:ascii="CG Times (W1)" w:hAnsi="CG Times (W1)"/>
        </w:rPr>
        <w:t xml:space="preserve"> typical week</w:t>
      </w:r>
      <w:r w:rsidR="00DA47E7">
        <w:rPr>
          <w:rFonts w:ascii="CG Times (W1)" w:hAnsi="CG Times (W1)"/>
        </w:rPr>
        <w:t xml:space="preserve"> is used in </w:t>
      </w:r>
      <w:r w:rsidR="00B76444">
        <w:rPr>
          <w:rFonts w:ascii="CG Times (W1)" w:hAnsi="CG Times (W1)"/>
        </w:rPr>
        <w:t>GTMax SL</w:t>
      </w:r>
      <w:r>
        <w:rPr>
          <w:rFonts w:ascii="CG Times (W1)" w:hAnsi="CG Times (W1)"/>
        </w:rPr>
        <w:t xml:space="preserve"> to represent the supply</w:t>
      </w:r>
      <w:r>
        <w:t xml:space="preserve"> profile</w:t>
      </w:r>
      <w:r>
        <w:rPr>
          <w:rFonts w:ascii="CG Times (W1)" w:hAnsi="CG Times (W1)"/>
        </w:rPr>
        <w:t xml:space="preserve"> for each month of the study period</w:t>
      </w:r>
      <w:r w:rsidRPr="004940F0">
        <w:rPr>
          <w:rFonts w:ascii="CG Times (W1)" w:hAnsi="CG Times (W1)"/>
        </w:rPr>
        <w:t xml:space="preserve">. This </w:t>
      </w:r>
      <w:r>
        <w:rPr>
          <w:rFonts w:ascii="CG Times (W1)" w:hAnsi="CG Times (W1)"/>
        </w:rPr>
        <w:t xml:space="preserve">typical </w:t>
      </w:r>
      <w:r w:rsidRPr="004940F0">
        <w:rPr>
          <w:rFonts w:ascii="CG Times (W1)" w:hAnsi="CG Times (W1)"/>
        </w:rPr>
        <w:t>week is constructed</w:t>
      </w:r>
      <w:r>
        <w:rPr>
          <w:rFonts w:ascii="CG Times (W1)" w:hAnsi="CG Times (W1)"/>
        </w:rPr>
        <w:t xml:space="preserve"> by calculating the typical profile for three types of days: </w:t>
      </w:r>
      <w:r w:rsidRPr="004940F0">
        <w:rPr>
          <w:rFonts w:ascii="CG Times (W1)" w:hAnsi="CG Times (W1)"/>
        </w:rPr>
        <w:t xml:space="preserve">weekday, Saturday, and Sunday. Holidays are </w:t>
      </w:r>
      <w:r>
        <w:rPr>
          <w:rFonts w:ascii="CG Times (W1)" w:hAnsi="CG Times (W1)"/>
        </w:rPr>
        <w:t>considered</w:t>
      </w:r>
      <w:r w:rsidRPr="004940F0">
        <w:rPr>
          <w:rFonts w:ascii="CG Times (W1)" w:hAnsi="CG Times (W1)"/>
        </w:rPr>
        <w:t xml:space="preserve"> to </w:t>
      </w:r>
      <w:r>
        <w:rPr>
          <w:rFonts w:ascii="CG Times (W1)" w:hAnsi="CG Times (W1)"/>
        </w:rPr>
        <w:t>be the same type as Sunday</w:t>
      </w:r>
      <w:r w:rsidRPr="004940F0">
        <w:rPr>
          <w:rFonts w:ascii="CG Times (W1)" w:hAnsi="CG Times (W1)"/>
        </w:rPr>
        <w:t xml:space="preserve">. Typical profiles for each day </w:t>
      </w:r>
      <w:r>
        <w:rPr>
          <w:rFonts w:ascii="CG Times (W1)" w:hAnsi="CG Times (W1)"/>
        </w:rPr>
        <w:t xml:space="preserve">of the week </w:t>
      </w:r>
      <w:r w:rsidRPr="004940F0">
        <w:rPr>
          <w:rFonts w:ascii="CG Times (W1)" w:hAnsi="CG Times (W1)"/>
        </w:rPr>
        <w:t xml:space="preserve">are average values for a specific hour. For example, the typical </w:t>
      </w:r>
      <w:r>
        <w:rPr>
          <w:rFonts w:ascii="CG Times (W1)" w:hAnsi="CG Times (W1)"/>
        </w:rPr>
        <w:t>generation</w:t>
      </w:r>
      <w:r w:rsidRPr="004940F0">
        <w:rPr>
          <w:rFonts w:ascii="CG Times (W1)" w:hAnsi="CG Times (W1)"/>
        </w:rPr>
        <w:t xml:space="preserve"> at 1:00 a.m</w:t>
      </w:r>
      <w:r w:rsidRPr="003540CF">
        <w:rPr>
          <w:rFonts w:ascii="CG Times (W1)" w:hAnsi="CG Times (W1)"/>
        </w:rPr>
        <w:t>. on a weekday in January is the average of all 1:00 a.m. generations during weekdays in that month. An illustration of a typical week supply profile is provided in Figure B.1 in Appendix B.</w:t>
      </w:r>
    </w:p>
    <w:p w:rsidR="00E66BB6" w:rsidRDefault="00E66BB6" w:rsidP="00E66BB6"/>
    <w:p w:rsidR="00DA47E7" w:rsidRPr="00043E63" w:rsidRDefault="00DA47E7" w:rsidP="00DA47E7">
      <w:pPr>
        <w:pStyle w:val="Heading2"/>
        <w:jc w:val="left"/>
        <w:rPr>
          <w:sz w:val="24"/>
          <w:szCs w:val="24"/>
        </w:rPr>
      </w:pPr>
      <w:bookmarkStart w:id="34" w:name="_Toc19196969"/>
      <w:r w:rsidRPr="00DA47E7">
        <w:rPr>
          <w:sz w:val="24"/>
          <w:szCs w:val="24"/>
        </w:rPr>
        <w:t>Model Input Data for Loads</w:t>
      </w:r>
      <w:bookmarkEnd w:id="34"/>
      <w:r w:rsidRPr="00DA47E7">
        <w:rPr>
          <w:sz w:val="24"/>
          <w:szCs w:val="24"/>
        </w:rPr>
        <w:t xml:space="preserve"> </w:t>
      </w:r>
    </w:p>
    <w:p w:rsidR="00DA47E7" w:rsidRDefault="00DA47E7" w:rsidP="00E66BB6"/>
    <w:p w:rsidR="00DA47E7" w:rsidRDefault="00DA47E7" w:rsidP="00DA47E7">
      <w:r>
        <w:t xml:space="preserve">As previously described, the revised methodology mimics the CRSP L&amp;R process. </w:t>
      </w:r>
      <w:r w:rsidRPr="00506A4F">
        <w:t>Data for</w:t>
      </w:r>
      <w:r>
        <w:t xml:space="preserve"> fixed</w:t>
      </w:r>
      <w:r w:rsidRPr="00506A4F">
        <w:t xml:space="preserve"> load</w:t>
      </w:r>
      <w:r>
        <w:t xml:space="preserve">s input into </w:t>
      </w:r>
      <w:r w:rsidR="00B76444">
        <w:t>GTMax SL</w:t>
      </w:r>
      <w:r w:rsidRPr="00506A4F">
        <w:t xml:space="preserve"> are based on prescheduled</w:t>
      </w:r>
      <w:r w:rsidR="006219B4">
        <w:t xml:space="preserve"> operations from EMMO (Dean 2019a</w:t>
      </w:r>
      <w:r w:rsidRPr="00506A4F">
        <w:t>)</w:t>
      </w:r>
      <w:r>
        <w:t xml:space="preserve"> as recorded in CRSP L&amp;R data</w:t>
      </w:r>
      <w:r w:rsidRPr="00506A4F">
        <w:t xml:space="preserve">. </w:t>
      </w:r>
      <w:r w:rsidRPr="007C6DAA">
        <w:t xml:space="preserve">For simplicity, customer load is aggregated with other types of loads to represent the total amount of energy withdrawn from the system. More specifically, this </w:t>
      </w:r>
      <w:r>
        <w:t xml:space="preserve">aggregate </w:t>
      </w:r>
      <w:r w:rsidRPr="007C6DAA">
        <w:t xml:space="preserve">load </w:t>
      </w:r>
      <w:r>
        <w:t>comprises the following line items from the L&amp;R table</w:t>
      </w:r>
      <w:r w:rsidRPr="007C6DAA">
        <w:t>:</w:t>
      </w:r>
    </w:p>
    <w:p w:rsidR="00DA47E7" w:rsidRPr="007C6DAA" w:rsidRDefault="00DA47E7" w:rsidP="00DA47E7"/>
    <w:p w:rsidR="00DA47E7" w:rsidRPr="007C6DAA" w:rsidRDefault="00DA47E7" w:rsidP="00DA47E7">
      <w:pPr>
        <w:pStyle w:val="ListParagraph"/>
        <w:numPr>
          <w:ilvl w:val="0"/>
          <w:numId w:val="35"/>
        </w:numPr>
        <w:spacing w:line="240" w:lineRule="auto"/>
        <w:jc w:val="left"/>
        <w:rPr>
          <w:rFonts w:ascii="CG Times (W1)" w:hAnsi="CG Times (W1)"/>
        </w:rPr>
      </w:pPr>
      <w:r w:rsidRPr="007C6DAA">
        <w:rPr>
          <w:rFonts w:ascii="CG Times (W1)" w:hAnsi="CG Times (W1)"/>
        </w:rPr>
        <w:t xml:space="preserve">Customer </w:t>
      </w:r>
      <w:r>
        <w:rPr>
          <w:rFonts w:ascii="CG Times (W1)" w:hAnsi="CG Times (W1)"/>
        </w:rPr>
        <w:t>AHP load,</w:t>
      </w:r>
    </w:p>
    <w:p w:rsidR="00DA47E7" w:rsidRPr="007C6DAA" w:rsidRDefault="00DA47E7" w:rsidP="00DA47E7">
      <w:pPr>
        <w:pStyle w:val="ListParagraph"/>
        <w:numPr>
          <w:ilvl w:val="0"/>
          <w:numId w:val="35"/>
        </w:numPr>
        <w:spacing w:line="240" w:lineRule="auto"/>
        <w:jc w:val="left"/>
        <w:rPr>
          <w:rFonts w:ascii="CG Times (W1)" w:hAnsi="CG Times (W1)"/>
        </w:rPr>
      </w:pPr>
      <w:r w:rsidRPr="007C6DAA">
        <w:rPr>
          <w:rFonts w:ascii="CG Times (W1)" w:hAnsi="CG Times (W1)"/>
        </w:rPr>
        <w:t xml:space="preserve">Western </w:t>
      </w:r>
      <w:r>
        <w:rPr>
          <w:rFonts w:ascii="CG Times (W1)" w:hAnsi="CG Times (W1)"/>
        </w:rPr>
        <w:t xml:space="preserve">Replacement Power </w:t>
      </w:r>
      <w:r w:rsidRPr="007C6DAA">
        <w:rPr>
          <w:rFonts w:ascii="CG Times (W1)" w:hAnsi="CG Times (W1)"/>
        </w:rPr>
        <w:t xml:space="preserve"> (WRP) monthly load</w:t>
      </w:r>
      <w:r>
        <w:rPr>
          <w:rFonts w:ascii="CG Times (W1)" w:hAnsi="CG Times (W1)"/>
        </w:rPr>
        <w:t>,</w:t>
      </w:r>
    </w:p>
    <w:p w:rsidR="00DA47E7" w:rsidRPr="007C6DAA" w:rsidRDefault="00DA47E7" w:rsidP="00DA47E7">
      <w:pPr>
        <w:pStyle w:val="ListParagraph"/>
        <w:numPr>
          <w:ilvl w:val="0"/>
          <w:numId w:val="35"/>
        </w:numPr>
        <w:spacing w:line="240" w:lineRule="auto"/>
        <w:jc w:val="left"/>
        <w:rPr>
          <w:rFonts w:ascii="CG Times (W1)" w:hAnsi="CG Times (W1)"/>
        </w:rPr>
      </w:pPr>
      <w:r w:rsidRPr="007C6DAA">
        <w:rPr>
          <w:rFonts w:ascii="CG Times (W1)" w:hAnsi="CG Times (W1)"/>
        </w:rPr>
        <w:t>WRP daily load</w:t>
      </w:r>
      <w:r>
        <w:rPr>
          <w:rFonts w:ascii="CG Times (W1)" w:hAnsi="CG Times (W1)"/>
        </w:rPr>
        <w:t>,</w:t>
      </w:r>
    </w:p>
    <w:p w:rsidR="00DA47E7" w:rsidRPr="007C6DAA" w:rsidRDefault="00DA47E7" w:rsidP="00DA47E7">
      <w:pPr>
        <w:pStyle w:val="ListParagraph"/>
        <w:numPr>
          <w:ilvl w:val="0"/>
          <w:numId w:val="35"/>
        </w:numPr>
        <w:spacing w:line="240" w:lineRule="auto"/>
        <w:jc w:val="left"/>
        <w:rPr>
          <w:rFonts w:ascii="CG Times (W1)" w:hAnsi="CG Times (W1)"/>
        </w:rPr>
      </w:pPr>
      <w:r w:rsidRPr="007C6DAA">
        <w:rPr>
          <w:rFonts w:ascii="CG Times (W1)" w:hAnsi="CG Times (W1)"/>
        </w:rPr>
        <w:t>Miscellaneous load</w:t>
      </w:r>
      <w:r>
        <w:rPr>
          <w:rFonts w:ascii="CG Times (W1)" w:hAnsi="CG Times (W1)"/>
        </w:rPr>
        <w:t>,</w:t>
      </w:r>
    </w:p>
    <w:p w:rsidR="00DA47E7" w:rsidRPr="007C6DAA" w:rsidRDefault="00DA47E7" w:rsidP="00DA47E7">
      <w:pPr>
        <w:pStyle w:val="ListParagraph"/>
        <w:numPr>
          <w:ilvl w:val="0"/>
          <w:numId w:val="35"/>
        </w:numPr>
        <w:spacing w:line="240" w:lineRule="auto"/>
        <w:jc w:val="left"/>
        <w:rPr>
          <w:rFonts w:ascii="CG Times (W1)" w:hAnsi="CG Times (W1)"/>
        </w:rPr>
      </w:pPr>
      <w:r w:rsidRPr="007C6DAA">
        <w:rPr>
          <w:rFonts w:ascii="CG Times (W1)" w:hAnsi="CG Times (W1)"/>
        </w:rPr>
        <w:t xml:space="preserve">Pump operations at Deer </w:t>
      </w:r>
      <w:r>
        <w:rPr>
          <w:rFonts w:ascii="CG Times (W1)" w:hAnsi="CG Times (W1)"/>
        </w:rPr>
        <w:t>C</w:t>
      </w:r>
      <w:r w:rsidRPr="007C6DAA">
        <w:rPr>
          <w:rFonts w:ascii="CG Times (W1)" w:hAnsi="CG Times (W1)"/>
        </w:rPr>
        <w:t>reek</w:t>
      </w:r>
      <w:r>
        <w:rPr>
          <w:rFonts w:ascii="CG Times (W1)" w:hAnsi="CG Times (W1)"/>
        </w:rPr>
        <w:t>,</w:t>
      </w:r>
    </w:p>
    <w:p w:rsidR="00DA47E7" w:rsidRPr="007C6DAA" w:rsidRDefault="00DA47E7" w:rsidP="00DA47E7">
      <w:pPr>
        <w:pStyle w:val="ListParagraph"/>
        <w:numPr>
          <w:ilvl w:val="0"/>
          <w:numId w:val="35"/>
        </w:numPr>
        <w:spacing w:line="240" w:lineRule="auto"/>
        <w:jc w:val="left"/>
        <w:rPr>
          <w:rFonts w:ascii="CG Times (W1)" w:hAnsi="CG Times (W1)"/>
        </w:rPr>
      </w:pPr>
      <w:r w:rsidRPr="007C6DAA">
        <w:rPr>
          <w:rFonts w:ascii="CG Times (W1)" w:hAnsi="CG Times (W1)"/>
        </w:rPr>
        <w:t>Transmission losses</w:t>
      </w:r>
      <w:r>
        <w:rPr>
          <w:rFonts w:ascii="CG Times (W1)" w:hAnsi="CG Times (W1)"/>
        </w:rPr>
        <w:t>, and</w:t>
      </w:r>
    </w:p>
    <w:p w:rsidR="00DA47E7" w:rsidRPr="007C6DAA" w:rsidRDefault="00DA47E7" w:rsidP="00DA47E7">
      <w:pPr>
        <w:pStyle w:val="ListParagraph"/>
        <w:numPr>
          <w:ilvl w:val="0"/>
          <w:numId w:val="35"/>
        </w:numPr>
      </w:pPr>
      <w:r w:rsidRPr="007C6DAA">
        <w:rPr>
          <w:rFonts w:ascii="CG Times (W1)" w:hAnsi="CG Times (W1)"/>
        </w:rPr>
        <w:t>SLCA/IP</w:t>
      </w:r>
      <w:r w:rsidRPr="007C6DAA">
        <w:t xml:space="preserve"> system</w:t>
      </w:r>
      <w:r>
        <w:t xml:space="preserve"> energy exchanges out of the system.</w:t>
      </w:r>
    </w:p>
    <w:p w:rsidR="00DA47E7" w:rsidRDefault="00DA47E7" w:rsidP="00DA47E7">
      <w:pPr>
        <w:ind w:left="720"/>
        <w:rPr>
          <w:rFonts w:ascii="CG Times (W1)" w:hAnsi="CG Times (W1)"/>
        </w:rPr>
      </w:pPr>
    </w:p>
    <w:p w:rsidR="00DA47E7" w:rsidRDefault="00DA47E7" w:rsidP="00DA47E7">
      <w:r w:rsidRPr="007C6DAA">
        <w:rPr>
          <w:rFonts w:ascii="CG Times (W1)" w:hAnsi="CG Times (W1)"/>
        </w:rPr>
        <w:t xml:space="preserve">The hourly </w:t>
      </w:r>
      <w:r>
        <w:rPr>
          <w:rFonts w:ascii="CG Times (W1)" w:hAnsi="CG Times (W1)"/>
        </w:rPr>
        <w:t>aggregated load profile was</w:t>
      </w:r>
      <w:r w:rsidRPr="007C6DAA">
        <w:rPr>
          <w:rFonts w:ascii="CG Times (W1)" w:hAnsi="CG Times (W1)"/>
        </w:rPr>
        <w:t xml:space="preserve"> </w:t>
      </w:r>
      <w:r>
        <w:rPr>
          <w:rFonts w:ascii="CG Times (W1)" w:hAnsi="CG Times (W1)"/>
        </w:rPr>
        <w:t>computed</w:t>
      </w:r>
      <w:r w:rsidRPr="007C6DAA">
        <w:rPr>
          <w:rFonts w:ascii="CG Times (W1)" w:hAnsi="CG Times (W1)"/>
        </w:rPr>
        <w:t xml:space="preserve"> for </w:t>
      </w:r>
      <w:r>
        <w:rPr>
          <w:rFonts w:ascii="CG Times (W1)" w:hAnsi="CG Times (W1)"/>
        </w:rPr>
        <w:t xml:space="preserve">all hours during </w:t>
      </w:r>
      <w:r w:rsidRPr="007C6DAA">
        <w:rPr>
          <w:rFonts w:ascii="CG Times (W1)" w:hAnsi="CG Times (W1)"/>
        </w:rPr>
        <w:t xml:space="preserve">the </w:t>
      </w:r>
      <w:r w:rsidR="00F35E7B">
        <w:rPr>
          <w:rFonts w:ascii="CG Times (W1)" w:hAnsi="CG Times (W1)"/>
        </w:rPr>
        <w:t>2019 HFE</w:t>
      </w:r>
      <w:r>
        <w:rPr>
          <w:rFonts w:ascii="CG Times (W1)" w:hAnsi="CG Times (W1)"/>
        </w:rPr>
        <w:t xml:space="preserve"> </w:t>
      </w:r>
      <w:r w:rsidRPr="007C6DAA">
        <w:rPr>
          <w:rFonts w:ascii="CG Times (W1)" w:hAnsi="CG Times (W1)"/>
        </w:rPr>
        <w:t>study period</w:t>
      </w:r>
      <w:r>
        <w:rPr>
          <w:rFonts w:ascii="CG Times (W1)" w:hAnsi="CG Times (W1)"/>
        </w:rPr>
        <w:t xml:space="preserve">. </w:t>
      </w:r>
      <w:r w:rsidRPr="004940F0">
        <w:rPr>
          <w:rFonts w:ascii="CG Times (W1)" w:hAnsi="CG Times (W1)"/>
        </w:rPr>
        <w:t>These data are not used directly</w:t>
      </w:r>
      <w:r>
        <w:rPr>
          <w:rFonts w:ascii="CG Times (W1)" w:hAnsi="CG Times (W1)"/>
        </w:rPr>
        <w:t xml:space="preserve"> in </w:t>
      </w:r>
      <w:r w:rsidR="00B76444">
        <w:rPr>
          <w:rFonts w:ascii="CG Times (W1)" w:hAnsi="CG Times (W1)"/>
        </w:rPr>
        <w:t>GTMax SL</w:t>
      </w:r>
      <w:r w:rsidRPr="004940F0">
        <w:rPr>
          <w:rFonts w:ascii="CG Times (W1)" w:hAnsi="CG Times (W1)"/>
        </w:rPr>
        <w:t xml:space="preserve">. </w:t>
      </w:r>
      <w:r>
        <w:rPr>
          <w:rFonts w:ascii="CG Times (W1)" w:hAnsi="CG Times (W1)"/>
        </w:rPr>
        <w:t xml:space="preserve">Instead, </w:t>
      </w:r>
      <w:r w:rsidR="00B76444">
        <w:rPr>
          <w:rFonts w:ascii="CG Times (W1)" w:hAnsi="CG Times (W1)"/>
        </w:rPr>
        <w:t>GTMax SL</w:t>
      </w:r>
      <w:r>
        <w:rPr>
          <w:rFonts w:ascii="CG Times (W1)" w:hAnsi="CG Times (W1)"/>
        </w:rPr>
        <w:t xml:space="preserve"> uses </w:t>
      </w:r>
      <w:r w:rsidRPr="004940F0">
        <w:rPr>
          <w:rFonts w:ascii="CG Times (W1)" w:hAnsi="CG Times (W1)"/>
        </w:rPr>
        <w:t xml:space="preserve">a typical </w:t>
      </w:r>
      <w:r>
        <w:rPr>
          <w:rFonts w:ascii="CG Times (W1)" w:hAnsi="CG Times (W1)"/>
        </w:rPr>
        <w:t xml:space="preserve">load </w:t>
      </w:r>
      <w:r w:rsidRPr="004940F0">
        <w:rPr>
          <w:rFonts w:ascii="CG Times (W1)" w:hAnsi="CG Times (W1)"/>
        </w:rPr>
        <w:t>week</w:t>
      </w:r>
      <w:r>
        <w:rPr>
          <w:rFonts w:ascii="CG Times (W1)" w:hAnsi="CG Times (W1)"/>
        </w:rPr>
        <w:t xml:space="preserve"> to represent the demand profile for each month of the study period</w:t>
      </w:r>
      <w:r w:rsidRPr="004940F0">
        <w:rPr>
          <w:rFonts w:ascii="CG Times (W1)" w:hAnsi="CG Times (W1)"/>
        </w:rPr>
        <w:t xml:space="preserve">. This </w:t>
      </w:r>
      <w:r>
        <w:rPr>
          <w:rFonts w:ascii="CG Times (W1)" w:hAnsi="CG Times (W1)"/>
        </w:rPr>
        <w:t xml:space="preserve">typical </w:t>
      </w:r>
      <w:r w:rsidRPr="004940F0">
        <w:rPr>
          <w:rFonts w:ascii="CG Times (W1)" w:hAnsi="CG Times (W1)"/>
        </w:rPr>
        <w:t>week is constructed</w:t>
      </w:r>
      <w:r>
        <w:rPr>
          <w:rFonts w:ascii="CG Times (W1)" w:hAnsi="CG Times (W1)"/>
        </w:rPr>
        <w:t xml:space="preserve"> by calculating the typical profile for three types of days: </w:t>
      </w:r>
      <w:r w:rsidRPr="004940F0">
        <w:rPr>
          <w:rFonts w:ascii="CG Times (W1)" w:hAnsi="CG Times (W1)"/>
        </w:rPr>
        <w:t xml:space="preserve">weekday, Saturday, and Sunday. Holidays are </w:t>
      </w:r>
      <w:r>
        <w:rPr>
          <w:rFonts w:ascii="CG Times (W1)" w:hAnsi="CG Times (W1)"/>
        </w:rPr>
        <w:t>considered</w:t>
      </w:r>
      <w:r w:rsidRPr="004940F0">
        <w:rPr>
          <w:rFonts w:ascii="CG Times (W1)" w:hAnsi="CG Times (W1)"/>
        </w:rPr>
        <w:t xml:space="preserve"> to </w:t>
      </w:r>
      <w:r>
        <w:rPr>
          <w:rFonts w:ascii="CG Times (W1)" w:hAnsi="CG Times (W1)"/>
        </w:rPr>
        <w:t>be the same type as Sunday</w:t>
      </w:r>
      <w:r w:rsidRPr="004940F0">
        <w:rPr>
          <w:rFonts w:ascii="CG Times (W1)" w:hAnsi="CG Times (W1)"/>
        </w:rPr>
        <w:t xml:space="preserve">. Typical profiles for each type of day are average values for a specific hour. For example, the typical </w:t>
      </w:r>
      <w:r>
        <w:rPr>
          <w:rFonts w:ascii="CG Times (W1)" w:hAnsi="CG Times (W1)"/>
        </w:rPr>
        <w:t>demand</w:t>
      </w:r>
      <w:r w:rsidRPr="004940F0">
        <w:rPr>
          <w:rFonts w:ascii="CG Times (W1)" w:hAnsi="CG Times (W1)"/>
        </w:rPr>
        <w:t xml:space="preserve"> at 1:00 a.m. on a weekday in January is the </w:t>
      </w:r>
      <w:r w:rsidRPr="003540CF">
        <w:rPr>
          <w:rFonts w:ascii="CG Times (W1)" w:hAnsi="CG Times (W1)"/>
        </w:rPr>
        <w:t>average of all 1:00 a.m. loads during weekdays in that month. A typical week demand profile is depicted in Figure B.2 in Appendix B.</w:t>
      </w:r>
    </w:p>
    <w:p w:rsidR="00DA47E7" w:rsidRDefault="00DA47E7" w:rsidP="00DA47E7"/>
    <w:p w:rsidR="00DA47E7" w:rsidRPr="00043E63" w:rsidRDefault="00DA47E7" w:rsidP="00DA47E7">
      <w:pPr>
        <w:pStyle w:val="Heading2"/>
        <w:jc w:val="left"/>
        <w:rPr>
          <w:sz w:val="24"/>
          <w:szCs w:val="24"/>
        </w:rPr>
      </w:pPr>
      <w:bookmarkStart w:id="35" w:name="_Toc19196970"/>
      <w:r w:rsidRPr="00DA47E7">
        <w:rPr>
          <w:sz w:val="24"/>
          <w:szCs w:val="24"/>
        </w:rPr>
        <w:t>Model Input Data for Market Prices</w:t>
      </w:r>
      <w:bookmarkEnd w:id="35"/>
    </w:p>
    <w:p w:rsidR="00DA47E7" w:rsidRDefault="00DA47E7" w:rsidP="00DA47E7"/>
    <w:p w:rsidR="00DA47E7" w:rsidRDefault="00DA47E7" w:rsidP="00DA47E7">
      <w:r>
        <w:rPr>
          <w:rFonts w:ascii="CG Times (W1)" w:hAnsi="CG Times (W1)"/>
        </w:rPr>
        <w:t xml:space="preserve">A weighted-average of real-time </w:t>
      </w:r>
      <w:r w:rsidR="002B0B48">
        <w:rPr>
          <w:rFonts w:ascii="CG Times (W1)" w:hAnsi="CG Times (W1)"/>
        </w:rPr>
        <w:t>and prescheduled</w:t>
      </w:r>
      <w:r>
        <w:rPr>
          <w:rFonts w:ascii="CG Times (W1)" w:hAnsi="CG Times (W1)"/>
        </w:rPr>
        <w:t xml:space="preserve"> sale and purchase </w:t>
      </w:r>
      <w:r w:rsidRPr="00DC32D4">
        <w:rPr>
          <w:rFonts w:ascii="CG Times (W1)" w:hAnsi="CG Times (W1)"/>
        </w:rPr>
        <w:t>prices</w:t>
      </w:r>
      <w:r w:rsidR="002B0B48">
        <w:rPr>
          <w:rFonts w:ascii="CG Times (W1)" w:hAnsi="CG Times (W1)"/>
        </w:rPr>
        <w:t>,</w:t>
      </w:r>
      <w:r w:rsidRPr="00DC32D4">
        <w:rPr>
          <w:rFonts w:ascii="CG Times (W1)" w:hAnsi="CG Times (W1)"/>
        </w:rPr>
        <w:t xml:space="preserve"> </w:t>
      </w:r>
      <w:r>
        <w:rPr>
          <w:rFonts w:ascii="CG Times (W1)" w:hAnsi="CG Times (W1)"/>
        </w:rPr>
        <w:t xml:space="preserve">obtained from EMMO </w:t>
      </w:r>
      <w:r w:rsidR="006219B4">
        <w:t>(Dean 2019a</w:t>
      </w:r>
      <w:r>
        <w:t>)</w:t>
      </w:r>
      <w:r>
        <w:rPr>
          <w:rFonts w:ascii="CG Times (W1)" w:hAnsi="CG Times (W1)"/>
        </w:rPr>
        <w:t xml:space="preserve"> for actual WAPA transactions</w:t>
      </w:r>
      <w:r w:rsidR="002B0B48">
        <w:rPr>
          <w:rFonts w:ascii="CG Times (W1)" w:hAnsi="CG Times (W1)"/>
        </w:rPr>
        <w:t>,</w:t>
      </w:r>
      <w:r>
        <w:rPr>
          <w:rFonts w:ascii="CG Times (W1)" w:hAnsi="CG Times (W1)"/>
        </w:rPr>
        <w:t xml:space="preserve"> are used to create a set of typical-week m</w:t>
      </w:r>
      <w:r w:rsidRPr="00DC2A41">
        <w:rPr>
          <w:rFonts w:ascii="CG Times (W1)" w:hAnsi="CG Times (W1)"/>
        </w:rPr>
        <w:t>arke</w:t>
      </w:r>
      <w:r>
        <w:rPr>
          <w:rFonts w:ascii="CG Times (W1)" w:hAnsi="CG Times (W1)"/>
        </w:rPr>
        <w:t xml:space="preserve">t prices input into </w:t>
      </w:r>
      <w:r w:rsidR="00B76444">
        <w:rPr>
          <w:rFonts w:ascii="CG Times (W1)" w:hAnsi="CG Times (W1)"/>
        </w:rPr>
        <w:t>GTMax SL</w:t>
      </w:r>
      <w:r>
        <w:rPr>
          <w:rFonts w:ascii="CG Times (W1)" w:hAnsi="CG Times (W1)"/>
        </w:rPr>
        <w:t>. A weekly price profile</w:t>
      </w:r>
      <w:r w:rsidR="002B0B48">
        <w:rPr>
          <w:rFonts w:ascii="CG Times (W1)" w:hAnsi="CG Times (W1)"/>
        </w:rPr>
        <w:t>, smoothened by a 5-hr moving average filter,</w:t>
      </w:r>
      <w:r>
        <w:rPr>
          <w:rFonts w:ascii="CG Times (W1)" w:hAnsi="CG Times (W1)"/>
        </w:rPr>
        <w:t xml:space="preserve"> is the main driver for determining optimal generation patterns at GCD within operating criteria and EMMO operating guidelines</w:t>
      </w:r>
      <w:r w:rsidRPr="00DC2A41">
        <w:rPr>
          <w:rFonts w:ascii="CG Times (W1)" w:hAnsi="CG Times (W1)"/>
        </w:rPr>
        <w:t>.</w:t>
      </w:r>
      <w:r w:rsidR="00F35E7B">
        <w:rPr>
          <w:rFonts w:ascii="CG Times (W1)" w:hAnsi="CG Times (W1)"/>
        </w:rPr>
        <w:t xml:space="preserve"> T</w:t>
      </w:r>
      <w:r w:rsidRPr="00704E0E">
        <w:rPr>
          <w:rFonts w:ascii="CG Times (W1)" w:hAnsi="CG Times (W1)"/>
        </w:rPr>
        <w:t xml:space="preserve">he optimal GCD </w:t>
      </w:r>
      <w:r>
        <w:rPr>
          <w:rFonts w:ascii="CG Times (W1)" w:hAnsi="CG Times (W1)"/>
        </w:rPr>
        <w:t>Baseline</w:t>
      </w:r>
      <w:r w:rsidRPr="00704E0E">
        <w:rPr>
          <w:rFonts w:ascii="CG Times (W1)" w:hAnsi="CG Times (W1)"/>
        </w:rPr>
        <w:t xml:space="preserve"> scenario generation profile </w:t>
      </w:r>
      <w:r>
        <w:rPr>
          <w:rFonts w:ascii="CG Times (W1)" w:hAnsi="CG Times (W1)"/>
        </w:rPr>
        <w:t xml:space="preserve">that </w:t>
      </w:r>
      <w:r w:rsidRPr="00704E0E">
        <w:rPr>
          <w:rFonts w:ascii="CG Times (W1)" w:hAnsi="CG Times (W1)"/>
        </w:rPr>
        <w:t>us</w:t>
      </w:r>
      <w:r>
        <w:rPr>
          <w:rFonts w:ascii="CG Times (W1)" w:hAnsi="CG Times (W1)"/>
        </w:rPr>
        <w:t xml:space="preserve">es this set of typical week </w:t>
      </w:r>
      <w:r w:rsidRPr="00704E0E">
        <w:rPr>
          <w:rFonts w:ascii="CG Times (W1)" w:hAnsi="CG Times (W1)"/>
        </w:rPr>
        <w:t>real-time sale price</w:t>
      </w:r>
      <w:r>
        <w:rPr>
          <w:rFonts w:ascii="CG Times (W1)" w:hAnsi="CG Times (W1)"/>
        </w:rPr>
        <w:t xml:space="preserve">s is </w:t>
      </w:r>
      <w:r w:rsidRPr="00704E0E">
        <w:rPr>
          <w:rFonts w:ascii="CG Times (W1)" w:hAnsi="CG Times (W1)"/>
        </w:rPr>
        <w:t xml:space="preserve">very similar to </w:t>
      </w:r>
      <w:r>
        <w:rPr>
          <w:rFonts w:ascii="CG Times (W1)" w:hAnsi="CG Times (W1)"/>
        </w:rPr>
        <w:t xml:space="preserve">actual </w:t>
      </w:r>
      <w:r w:rsidRPr="00704E0E">
        <w:rPr>
          <w:rFonts w:ascii="CG Times (W1)" w:hAnsi="CG Times (W1)"/>
        </w:rPr>
        <w:t xml:space="preserve">historical </w:t>
      </w:r>
      <w:r>
        <w:rPr>
          <w:rFonts w:ascii="CG Times (W1)" w:hAnsi="CG Times (W1)"/>
        </w:rPr>
        <w:t>patterns. This</w:t>
      </w:r>
      <w:r w:rsidRPr="00704E0E">
        <w:rPr>
          <w:rFonts w:ascii="CG Times (W1)" w:hAnsi="CG Times (W1)"/>
        </w:rPr>
        <w:t xml:space="preserve"> </w:t>
      </w:r>
      <w:r>
        <w:rPr>
          <w:rFonts w:ascii="CG Times (W1)" w:hAnsi="CG Times (W1)"/>
        </w:rPr>
        <w:t>likeness validates the use of the real-time sales price profile as a key model driver</w:t>
      </w:r>
      <w:r w:rsidRPr="00BD6B24">
        <w:rPr>
          <w:rFonts w:ascii="CG Times (W1)" w:hAnsi="CG Times (W1)"/>
        </w:rPr>
        <w:t>. A comparison between the typical week generation profiles at GCD, based on historical data and generated by the model, is shown in Figure B.3 of Appendix B.</w:t>
      </w:r>
    </w:p>
    <w:p w:rsidR="00EB6D63" w:rsidRDefault="00EB6D63" w:rsidP="00DA47E7"/>
    <w:p w:rsidR="002B0B48" w:rsidRDefault="002B0B48">
      <w:pPr>
        <w:spacing w:line="240" w:lineRule="auto"/>
        <w:jc w:val="left"/>
      </w:pPr>
      <w:r>
        <w:br w:type="page"/>
      </w:r>
    </w:p>
    <w:p w:rsidR="002B0B48" w:rsidRDefault="002B0B48" w:rsidP="002B0B48">
      <w:pPr>
        <w:pStyle w:val="Heading1"/>
        <w:ind w:left="360" w:hanging="360"/>
        <w:jc w:val="left"/>
        <w:rPr>
          <w:bCs/>
        </w:rPr>
      </w:pPr>
      <w:bookmarkStart w:id="36" w:name="_Toc19196971"/>
      <w:r w:rsidRPr="002B0B48">
        <w:rPr>
          <w:bCs/>
        </w:rPr>
        <w:t>Cost of Experiment in WY 201</w:t>
      </w:r>
      <w:r>
        <w:rPr>
          <w:bCs/>
        </w:rPr>
        <w:t>9</w:t>
      </w:r>
      <w:bookmarkEnd w:id="36"/>
    </w:p>
    <w:p w:rsidR="002B0B48" w:rsidRDefault="002B0B48">
      <w:pPr>
        <w:spacing w:line="240" w:lineRule="auto"/>
        <w:jc w:val="left"/>
      </w:pPr>
    </w:p>
    <w:p w:rsidR="0056156D" w:rsidRDefault="00792D97" w:rsidP="0056156D">
      <w:pPr>
        <w:spacing w:line="240" w:lineRule="auto"/>
      </w:pPr>
      <w:r>
        <w:t xml:space="preserve">The </w:t>
      </w:r>
      <w:r w:rsidR="0056156D">
        <w:t xml:space="preserve">HFE </w:t>
      </w:r>
      <w:r>
        <w:t>conducted during</w:t>
      </w:r>
      <w:r w:rsidR="0056156D">
        <w:t xml:space="preserve"> November 2018</w:t>
      </w:r>
      <w:r>
        <w:t xml:space="preserve"> </w:t>
      </w:r>
      <w:r w:rsidR="0056156D" w:rsidRPr="00E15DAC">
        <w:t>had a</w:t>
      </w:r>
      <w:r w:rsidR="0056156D">
        <w:t xml:space="preserve"> </w:t>
      </w:r>
      <w:r w:rsidR="0056156D" w:rsidRPr="008854DD">
        <w:t xml:space="preserve">nominal peak flow </w:t>
      </w:r>
      <w:r w:rsidR="0056156D" w:rsidRPr="006B3CF3">
        <w:t xml:space="preserve">of </w:t>
      </w:r>
      <w:r w:rsidR="0056156D">
        <w:t>38</w:t>
      </w:r>
      <w:r w:rsidR="0056156D" w:rsidRPr="006B3CF3">
        <w:t>,000 cfs.</w:t>
      </w:r>
      <w:r w:rsidR="0056156D" w:rsidRPr="008854DD">
        <w:t xml:space="preserve"> </w:t>
      </w:r>
      <w:r w:rsidR="0056156D">
        <w:t>Supporting these high flows required reallocations of 37 TAF of water</w:t>
      </w:r>
      <w:r w:rsidR="0056156D" w:rsidRPr="00E15DAC">
        <w:t xml:space="preserve"> </w:t>
      </w:r>
      <w:r w:rsidR="0056156D">
        <w:t>from two months between March and May 2019 to November 2018</w:t>
      </w:r>
      <w:r w:rsidR="0056156D" w:rsidRPr="00E15DAC">
        <w:t>.</w:t>
      </w:r>
    </w:p>
    <w:p w:rsidR="0056156D" w:rsidRDefault="0056156D" w:rsidP="0056156D">
      <w:pPr>
        <w:spacing w:line="240" w:lineRule="auto"/>
      </w:pPr>
    </w:p>
    <w:p w:rsidR="00E26148" w:rsidRDefault="0056156D" w:rsidP="0056156D">
      <w:pPr>
        <w:spacing w:line="240" w:lineRule="auto"/>
      </w:pPr>
      <w:r w:rsidRPr="0056156D">
        <w:t>Figure 5.1 shows the monthly water releases in WY 201</w:t>
      </w:r>
      <w:r>
        <w:t>9</w:t>
      </w:r>
      <w:r w:rsidRPr="0056156D">
        <w:t xml:space="preserve"> for the </w:t>
      </w:r>
      <w:r w:rsidR="000563BF">
        <w:t>Factual case and the</w:t>
      </w:r>
      <w:r>
        <w:t xml:space="preserve"> Counterfactual case </w:t>
      </w:r>
      <w:r w:rsidR="000563BF">
        <w:t>that assumes</w:t>
      </w:r>
      <w:r>
        <w:t xml:space="preserve"> </w:t>
      </w:r>
      <w:r w:rsidR="0048073F">
        <w:t>a water reallocation in March and April, called “Counterfactual case 1</w:t>
      </w:r>
      <w:r w:rsidR="00792D97">
        <w:t>.</w:t>
      </w:r>
      <w:r w:rsidR="0048073F">
        <w:t xml:space="preserve">” </w:t>
      </w:r>
      <w:r w:rsidRPr="0056156D">
        <w:t xml:space="preserve">The amounts of water released in the </w:t>
      </w:r>
      <w:r w:rsidR="0048073F">
        <w:t>Factual case</w:t>
      </w:r>
      <w:r w:rsidRPr="0056156D">
        <w:t xml:space="preserve"> and </w:t>
      </w:r>
      <w:r w:rsidR="0048073F">
        <w:t>in Counterfactual</w:t>
      </w:r>
      <w:r w:rsidRPr="0056156D">
        <w:t xml:space="preserve"> </w:t>
      </w:r>
      <w:r w:rsidR="0048073F">
        <w:t>case 1</w:t>
      </w:r>
      <w:r w:rsidRPr="0056156D">
        <w:t xml:space="preserve"> differ</w:t>
      </w:r>
      <w:r w:rsidR="00792D97">
        <w:t xml:space="preserve"> during three</w:t>
      </w:r>
      <w:r w:rsidRPr="0056156D">
        <w:t xml:space="preserve"> months. For November, water releases were higher in the </w:t>
      </w:r>
      <w:r w:rsidR="0048073F">
        <w:t>Factual case by 37 TAF</w:t>
      </w:r>
      <w:r w:rsidRPr="0056156D">
        <w:t xml:space="preserve"> to accommodate the HFE. These higher water releases were balanced with </w:t>
      </w:r>
      <w:r w:rsidR="0048073F">
        <w:t xml:space="preserve">18.5 TAF </w:t>
      </w:r>
      <w:r w:rsidRPr="0056156D">
        <w:t xml:space="preserve">lower releases </w:t>
      </w:r>
      <w:r w:rsidR="000563BF">
        <w:t>in</w:t>
      </w:r>
      <w:r w:rsidRPr="0056156D">
        <w:t xml:space="preserve"> March and </w:t>
      </w:r>
      <w:r w:rsidR="000563BF">
        <w:t xml:space="preserve">18.5 TAF lower releases in </w:t>
      </w:r>
      <w:r w:rsidR="0048073F">
        <w:t>April</w:t>
      </w:r>
      <w:r w:rsidRPr="0056156D">
        <w:t>.</w:t>
      </w:r>
      <w:r w:rsidR="00792D97">
        <w:t xml:space="preserve"> Two other water reallocations were also analyzed for this study, namely: water from March and May is reallocated to November (Counterfactual case 2), and water from April and May to is reallocated to November (Counterfactual case 3).</w:t>
      </w:r>
    </w:p>
    <w:p w:rsidR="00E26148" w:rsidRDefault="00E26148" w:rsidP="0056156D">
      <w:pPr>
        <w:spacing w:line="240" w:lineRule="auto"/>
      </w:pPr>
    </w:p>
    <w:p w:rsidR="00E26148" w:rsidRDefault="00E26148" w:rsidP="00E26148">
      <w:pPr>
        <w:keepNext/>
        <w:spacing w:line="240" w:lineRule="auto"/>
        <w:jc w:val="center"/>
      </w:pPr>
      <w:r w:rsidRPr="00E26148">
        <w:rPr>
          <w:noProof/>
        </w:rPr>
        <w:drawing>
          <wp:inline distT="0" distB="0" distL="0" distR="0" wp14:anchorId="07083481" wp14:editId="01C3FE7F">
            <wp:extent cx="5448300" cy="4171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48300" cy="4171950"/>
                    </a:xfrm>
                    <a:prstGeom prst="rect">
                      <a:avLst/>
                    </a:prstGeom>
                    <a:noFill/>
                    <a:ln>
                      <a:noFill/>
                    </a:ln>
                  </pic:spPr>
                </pic:pic>
              </a:graphicData>
            </a:graphic>
          </wp:inline>
        </w:drawing>
      </w:r>
    </w:p>
    <w:p w:rsidR="00E26148" w:rsidRDefault="00E26148" w:rsidP="00E26148">
      <w:pPr>
        <w:pStyle w:val="Caption"/>
        <w:jc w:val="center"/>
      </w:pPr>
      <w:bookmarkStart w:id="37" w:name="_Toc19196931"/>
      <w:r>
        <w:t xml:space="preserve">Figure </w:t>
      </w:r>
      <w:r w:rsidR="00CE27EE">
        <w:rPr>
          <w:noProof/>
        </w:rPr>
        <w:fldChar w:fldCharType="begin"/>
      </w:r>
      <w:r w:rsidR="00CE27EE">
        <w:rPr>
          <w:noProof/>
        </w:rPr>
        <w:instrText xml:space="preserve"> STYLEREF 1 \s </w:instrText>
      </w:r>
      <w:r w:rsidR="00CE27EE">
        <w:rPr>
          <w:noProof/>
        </w:rPr>
        <w:fldChar w:fldCharType="separate"/>
      </w:r>
      <w:r w:rsidR="00782BDF">
        <w:rPr>
          <w:noProof/>
        </w:rPr>
        <w:t>5</w:t>
      </w:r>
      <w:r w:rsidR="00CE27EE">
        <w:rPr>
          <w:noProof/>
        </w:rPr>
        <w:fldChar w:fldCharType="end"/>
      </w:r>
      <w:r w:rsidR="00782BDF">
        <w:noBreakHyphen/>
      </w:r>
      <w:r w:rsidR="00CE27EE">
        <w:rPr>
          <w:noProof/>
        </w:rPr>
        <w:fldChar w:fldCharType="begin"/>
      </w:r>
      <w:r w:rsidR="00CE27EE">
        <w:rPr>
          <w:noProof/>
        </w:rPr>
        <w:instrText xml:space="preserve"> SEQ Figure \* ARABIC \s 1 </w:instrText>
      </w:r>
      <w:r w:rsidR="00CE27EE">
        <w:rPr>
          <w:noProof/>
        </w:rPr>
        <w:fldChar w:fldCharType="separate"/>
      </w:r>
      <w:r w:rsidR="00782BDF">
        <w:rPr>
          <w:noProof/>
        </w:rPr>
        <w:t>1</w:t>
      </w:r>
      <w:r w:rsidR="00CE27EE">
        <w:rPr>
          <w:noProof/>
        </w:rPr>
        <w:fldChar w:fldCharType="end"/>
      </w:r>
      <w:r>
        <w:t xml:space="preserve"> </w:t>
      </w:r>
      <w:r w:rsidRPr="00E26148">
        <w:t>Monthly water releases at GCD in WY 201</w:t>
      </w:r>
      <w:r>
        <w:t>9</w:t>
      </w:r>
      <w:bookmarkEnd w:id="37"/>
    </w:p>
    <w:p w:rsidR="000563BF" w:rsidRDefault="000563BF" w:rsidP="000563BF">
      <w:pPr>
        <w:spacing w:line="240" w:lineRule="auto"/>
        <w:jc w:val="left"/>
      </w:pPr>
    </w:p>
    <w:p w:rsidR="00CC7CA7" w:rsidRDefault="00CC7CA7" w:rsidP="00CC7CA7">
      <w:r>
        <w:t xml:space="preserve">The financial analysis for the WY 2019 HFE </w:t>
      </w:r>
      <w:r w:rsidR="00792D97">
        <w:t xml:space="preserve">is based on </w:t>
      </w:r>
      <w:r>
        <w:t xml:space="preserve">the difference in net energy revenues between the Factual and Counterfactual cases. </w:t>
      </w:r>
    </w:p>
    <w:p w:rsidR="00CC7CA7" w:rsidRDefault="00CC7CA7" w:rsidP="000563BF">
      <w:pPr>
        <w:spacing w:line="240" w:lineRule="auto"/>
        <w:jc w:val="left"/>
      </w:pPr>
    </w:p>
    <w:p w:rsidR="00CC7CA7" w:rsidRDefault="00CC7CA7" w:rsidP="000563BF">
      <w:pPr>
        <w:spacing w:line="240" w:lineRule="auto"/>
        <w:jc w:val="left"/>
      </w:pPr>
    </w:p>
    <w:p w:rsidR="00CC7CA7" w:rsidRDefault="00CC7CA7" w:rsidP="000563BF">
      <w:pPr>
        <w:spacing w:line="240" w:lineRule="auto"/>
        <w:jc w:val="left"/>
      </w:pPr>
    </w:p>
    <w:p w:rsidR="00CC7CA7" w:rsidRDefault="00CC7CA7" w:rsidP="00CC7CA7">
      <w:pPr>
        <w:pStyle w:val="Heading2"/>
        <w:jc w:val="left"/>
        <w:rPr>
          <w:sz w:val="24"/>
          <w:szCs w:val="24"/>
        </w:rPr>
      </w:pPr>
      <w:bookmarkStart w:id="38" w:name="_Toc19196972"/>
      <w:r w:rsidRPr="00CC7CA7">
        <w:rPr>
          <w:sz w:val="24"/>
          <w:szCs w:val="24"/>
        </w:rPr>
        <w:t>Generation Profile at GCD: From a Typical Week to an Entire Month</w:t>
      </w:r>
      <w:bookmarkEnd w:id="38"/>
      <w:r w:rsidRPr="00CC7CA7">
        <w:rPr>
          <w:sz w:val="24"/>
          <w:szCs w:val="24"/>
        </w:rPr>
        <w:t xml:space="preserve"> </w:t>
      </w:r>
    </w:p>
    <w:p w:rsidR="00CC7CA7" w:rsidRDefault="00CC7CA7" w:rsidP="00CC7CA7"/>
    <w:p w:rsidR="00CC7CA7" w:rsidRDefault="00CC7CA7" w:rsidP="00CC7CA7">
      <w:r w:rsidRPr="00CC7CA7">
        <w:t xml:space="preserve">The </w:t>
      </w:r>
      <w:r>
        <w:t xml:space="preserve">Factual case and the three Counterfactual cases are </w:t>
      </w:r>
      <w:r w:rsidR="00792D97">
        <w:t>optimized</w:t>
      </w:r>
      <w:r>
        <w:t xml:space="preserve"> with the </w:t>
      </w:r>
      <w:r w:rsidR="00B76444">
        <w:t>GTMax SL</w:t>
      </w:r>
      <w:r w:rsidRPr="00CC7CA7">
        <w:t xml:space="preserve"> model. This results in a hourly GCD generation profile for a typical week in each month and each </w:t>
      </w:r>
      <w:r>
        <w:t>case</w:t>
      </w:r>
      <w:r w:rsidRPr="00CC7CA7">
        <w:t xml:space="preserve">. The hourly generation profile at GCD is expanded from a typical week (comprising 168 hours) to an entire month (comprising all the hours in the month). This is done by building a new one-month hourly profile in which the hourly profile of each day is the profile of its day type — weekday, Saturday, or Sunday/holiday. </w:t>
      </w:r>
    </w:p>
    <w:p w:rsidR="00CC7CA7" w:rsidRDefault="00CC7CA7" w:rsidP="00CC7CA7"/>
    <w:p w:rsidR="00CC7CA7" w:rsidRDefault="00CC7CA7" w:rsidP="00CC7CA7">
      <w:pPr>
        <w:pStyle w:val="Heading2"/>
        <w:jc w:val="left"/>
        <w:rPr>
          <w:sz w:val="24"/>
          <w:szCs w:val="24"/>
        </w:rPr>
      </w:pPr>
      <w:bookmarkStart w:id="39" w:name="_Toc19196973"/>
      <w:r w:rsidRPr="00CC7CA7">
        <w:rPr>
          <w:sz w:val="24"/>
          <w:szCs w:val="24"/>
        </w:rPr>
        <w:t>Energy Purchased and Energy Sold Profiles</w:t>
      </w:r>
      <w:bookmarkEnd w:id="39"/>
      <w:r w:rsidRPr="00CC7CA7">
        <w:rPr>
          <w:sz w:val="24"/>
          <w:szCs w:val="24"/>
        </w:rPr>
        <w:t xml:space="preserve"> </w:t>
      </w:r>
    </w:p>
    <w:p w:rsidR="00CC7CA7" w:rsidRPr="00CC7CA7" w:rsidRDefault="00CC7CA7" w:rsidP="00CC7CA7"/>
    <w:p w:rsidR="00CC7CA7" w:rsidRPr="00CC7CA7" w:rsidRDefault="00CC7CA7" w:rsidP="009A72D8">
      <w:pPr>
        <w:spacing w:line="240" w:lineRule="auto"/>
      </w:pPr>
      <w:r w:rsidRPr="00CC7CA7">
        <w:t>Once an expanded representation of the generation profile at GCD has been created, the hourly profile of net energy sale and purchase quantities are calculated for the SLCA/IP system. For each hour of the entire study time, the following energy balance equation is satisfied by financial spreadsheet calculations:</w:t>
      </w:r>
    </w:p>
    <w:p w:rsidR="00CC7CA7" w:rsidRPr="00CC7CA7" w:rsidRDefault="00CC7CA7" w:rsidP="009A72D8">
      <w:pPr>
        <w:spacing w:line="240" w:lineRule="auto"/>
      </w:pPr>
    </w:p>
    <w:p w:rsidR="00CC7CA7" w:rsidRPr="00CC7CA7" w:rsidRDefault="00CC7CA7" w:rsidP="009A72D8">
      <w:pPr>
        <w:spacing w:line="240" w:lineRule="auto"/>
      </w:pPr>
      <w:r w:rsidRPr="00CC7CA7">
        <w:t>SLCA/IP Generation + Net Purchases = SLCA/IP Load + Net Sales</w:t>
      </w:r>
    </w:p>
    <w:p w:rsidR="00CC7CA7" w:rsidRPr="00CC7CA7" w:rsidRDefault="00CC7CA7" w:rsidP="009A72D8">
      <w:pPr>
        <w:spacing w:line="240" w:lineRule="auto"/>
      </w:pPr>
    </w:p>
    <w:p w:rsidR="00CC7CA7" w:rsidRPr="00CC7CA7" w:rsidRDefault="00CC7CA7" w:rsidP="009A72D8">
      <w:pPr>
        <w:spacing w:line="240" w:lineRule="auto"/>
      </w:pPr>
      <w:r w:rsidRPr="00CC7CA7">
        <w:t xml:space="preserve">For this equation, SLCA/IP supply resources are described in Section 4.2. On the other hand, the load profile used here corresponds to the historical hourly profile of total load, whose components are described in Section 4.3, and not the expanded version of the typical weekly load profile. Energy purchases in the equation include both day-ahead and real-time purchases. Likewise, energy sales are a combination of both day-ahead and real-time sales. The energy balance equation is satisfied for each hour of the entire modeled month (i.e., the expanded monthly time period, as </w:t>
      </w:r>
      <w:r w:rsidR="00143E17">
        <w:t>described in section</w:t>
      </w:r>
      <w:r w:rsidRPr="00CC7CA7">
        <w:t xml:space="preserve"> 5.2). Except for GCD Powerplant generation, all other SLCA/IP supply resources an</w:t>
      </w:r>
      <w:r w:rsidR="00143E17">
        <w:t>d loads are identical under all cases</w:t>
      </w:r>
      <w:r w:rsidRPr="00CC7CA7">
        <w:t xml:space="preserve">. All financial differences between the </w:t>
      </w:r>
      <w:r w:rsidR="009A72D8">
        <w:t>Factual and Counterfactual cases</w:t>
      </w:r>
      <w:r w:rsidRPr="00CC7CA7">
        <w:t xml:space="preserve"> are therefore directly attributed to a changed hourly generation pattern at GCD; that is, because loads are fixed and identical under </w:t>
      </w:r>
      <w:r w:rsidR="009A72D8">
        <w:t>all cases</w:t>
      </w:r>
      <w:r w:rsidRPr="00CC7CA7">
        <w:t>, the changed GCD generation profile has a direct impact on hourly energy transaction levels and associate costs and revenues.</w:t>
      </w:r>
    </w:p>
    <w:p w:rsidR="00CC7CA7" w:rsidRPr="00CC7CA7" w:rsidRDefault="00CC7CA7" w:rsidP="009A72D8">
      <w:pPr>
        <w:spacing w:line="240" w:lineRule="auto"/>
      </w:pPr>
    </w:p>
    <w:p w:rsidR="00CC7CA7" w:rsidRPr="00CC7CA7" w:rsidRDefault="00CC7CA7" w:rsidP="009A72D8">
      <w:pPr>
        <w:spacing w:line="240" w:lineRule="auto"/>
      </w:pPr>
      <w:r w:rsidRPr="00CC7CA7">
        <w:t>For modeling purposes both net energy purchases and net energy sales are always positive. It therefore follows that either one or both of these transaction values is set equal to zero in each hour by applying the following equations:</w:t>
      </w:r>
    </w:p>
    <w:p w:rsidR="00CC7CA7" w:rsidRPr="00CC7CA7" w:rsidRDefault="00CC7CA7" w:rsidP="009A72D8">
      <w:pPr>
        <w:spacing w:line="240" w:lineRule="auto"/>
      </w:pPr>
    </w:p>
    <w:p w:rsidR="00CC7CA7" w:rsidRPr="00CC7CA7" w:rsidRDefault="00CC7CA7" w:rsidP="009A72D8">
      <w:pPr>
        <w:spacing w:line="240" w:lineRule="auto"/>
      </w:pPr>
      <w:r w:rsidRPr="00CC7CA7">
        <w:t>Net Purchases = max(0, Load – Generation)</w:t>
      </w:r>
    </w:p>
    <w:p w:rsidR="00CC7CA7" w:rsidRPr="00CC7CA7" w:rsidRDefault="00CC7CA7" w:rsidP="009A72D8">
      <w:pPr>
        <w:spacing w:line="240" w:lineRule="auto"/>
      </w:pPr>
      <w:r w:rsidRPr="00CC7CA7">
        <w:t>Net Sales = max(0, Generation – Load)</w:t>
      </w:r>
    </w:p>
    <w:p w:rsidR="00CC7CA7" w:rsidRPr="00CC7CA7" w:rsidRDefault="00CC7CA7" w:rsidP="009A72D8">
      <w:pPr>
        <w:spacing w:line="240" w:lineRule="auto"/>
      </w:pPr>
    </w:p>
    <w:p w:rsidR="002B4B12" w:rsidRDefault="00CC7CA7" w:rsidP="009A72D8">
      <w:pPr>
        <w:spacing w:line="240" w:lineRule="auto"/>
      </w:pPr>
      <w:r w:rsidRPr="00CC7CA7">
        <w:t xml:space="preserve">For example, if there is a positive net energy purchase in a given hour, the net sales in that same hour is zero, and vice versa. </w:t>
      </w:r>
    </w:p>
    <w:p w:rsidR="002B4B12" w:rsidRDefault="002B4B12" w:rsidP="009A72D8">
      <w:pPr>
        <w:spacing w:line="240" w:lineRule="auto"/>
      </w:pPr>
    </w:p>
    <w:p w:rsidR="002B4B12" w:rsidRDefault="002B4B12" w:rsidP="002B4B12">
      <w:pPr>
        <w:pStyle w:val="Heading2"/>
        <w:jc w:val="left"/>
        <w:rPr>
          <w:sz w:val="24"/>
          <w:szCs w:val="24"/>
        </w:rPr>
      </w:pPr>
      <w:bookmarkStart w:id="40" w:name="_Toc19196974"/>
      <w:r w:rsidRPr="002B4B12">
        <w:rPr>
          <w:sz w:val="24"/>
          <w:szCs w:val="24"/>
        </w:rPr>
        <w:t>Purchase and Sale Price Profiles</w:t>
      </w:r>
      <w:bookmarkEnd w:id="40"/>
      <w:r w:rsidRPr="00CC7CA7">
        <w:rPr>
          <w:sz w:val="24"/>
          <w:szCs w:val="24"/>
        </w:rPr>
        <w:t xml:space="preserve"> </w:t>
      </w:r>
    </w:p>
    <w:p w:rsidR="002B4B12" w:rsidRDefault="002B4B12" w:rsidP="009A72D8">
      <w:pPr>
        <w:spacing w:line="240" w:lineRule="auto"/>
      </w:pPr>
    </w:p>
    <w:p w:rsidR="002B4B12" w:rsidRDefault="002B4B12" w:rsidP="002B4B12">
      <w:r w:rsidRPr="00ED512B">
        <w:t xml:space="preserve">Under </w:t>
      </w:r>
      <w:r>
        <w:t xml:space="preserve">all Factual and Counterfactual cases, </w:t>
      </w:r>
      <w:r w:rsidRPr="00ED512B">
        <w:t>purchase price</w:t>
      </w:r>
      <w:r>
        <w:t>s</w:t>
      </w:r>
      <w:r w:rsidRPr="00ED512B">
        <w:t xml:space="preserve"> </w:t>
      </w:r>
      <w:r>
        <w:t>used for financial calculations are</w:t>
      </w:r>
      <w:r w:rsidRPr="00ED512B">
        <w:t xml:space="preserve"> </w:t>
      </w:r>
      <w:r>
        <w:t xml:space="preserve">set equal to the actual EMMO </w:t>
      </w:r>
      <w:r w:rsidRPr="00ED512B">
        <w:t xml:space="preserve">average price of </w:t>
      </w:r>
      <w:r>
        <w:t xml:space="preserve">all </w:t>
      </w:r>
      <w:r w:rsidRPr="00ED512B">
        <w:t>prescheduled and real-time purchase</w:t>
      </w:r>
      <w:r>
        <w:t xml:space="preserve"> transactions weighted by purchase quantities</w:t>
      </w:r>
      <w:r w:rsidRPr="00ED512B">
        <w:t>.</w:t>
      </w:r>
      <w:r>
        <w:t xml:space="preserve"> Similarly, sale prices used for financial calculations are the weighted average price of all day-ahead and real-time sales. If, in a given hour of a given day and month, there are no price data, a “typical” price is used as a surrogate value.  It is based on the quantity-weighted average price of all transactions </w:t>
      </w:r>
      <w:r w:rsidR="003D73CB">
        <w:t>occurring during the same month, at the same hour of the day and during the same day-types (i.e. weekday</w:t>
      </w:r>
      <w:r w:rsidR="0008079D">
        <w:t>s</w:t>
      </w:r>
      <w:r w:rsidR="003D73CB">
        <w:t>, Saturday</w:t>
      </w:r>
      <w:r w:rsidR="0008079D">
        <w:t>s</w:t>
      </w:r>
      <w:r w:rsidR="003D73CB">
        <w:t>, or Sunday</w:t>
      </w:r>
      <w:r w:rsidR="0008079D">
        <w:t>s</w:t>
      </w:r>
      <w:r w:rsidR="003D73CB">
        <w:t>/holiday</w:t>
      </w:r>
      <w:r w:rsidR="0008079D">
        <w:t>s</w:t>
      </w:r>
      <w:r w:rsidR="003D73CB">
        <w:t xml:space="preserve">) as </w:t>
      </w:r>
      <w:r w:rsidR="0008079D">
        <w:t xml:space="preserve">for </w:t>
      </w:r>
      <w:r w:rsidR="003D73CB">
        <w:t xml:space="preserve">the missing </w:t>
      </w:r>
      <w:r w:rsidR="0008079D">
        <w:t xml:space="preserve">price </w:t>
      </w:r>
      <w:r w:rsidR="003D73CB">
        <w:t>data</w:t>
      </w:r>
      <w:r>
        <w:t xml:space="preserve">. </w:t>
      </w:r>
    </w:p>
    <w:p w:rsidR="002B4B12" w:rsidRDefault="002B4B12" w:rsidP="002B4B12"/>
    <w:p w:rsidR="002B4B12" w:rsidRDefault="002B4B12" w:rsidP="002B4B12">
      <w:r>
        <w:t xml:space="preserve">When applying these prices in combination with the net purchase and sale quantities described in section 5.2, the methodology implicitly assumes the following: </w:t>
      </w:r>
    </w:p>
    <w:p w:rsidR="002B4B12" w:rsidRDefault="002B4B12" w:rsidP="002B4B12">
      <w:pPr>
        <w:ind w:firstLine="450"/>
      </w:pPr>
    </w:p>
    <w:p w:rsidR="002B4B12" w:rsidRDefault="002B4B12" w:rsidP="002B4B12">
      <w:pPr>
        <w:pStyle w:val="ListParagraph"/>
        <w:numPr>
          <w:ilvl w:val="0"/>
          <w:numId w:val="36"/>
        </w:numPr>
        <w:jc w:val="left"/>
      </w:pPr>
      <w:r>
        <w:t xml:space="preserve">An incremental </w:t>
      </w:r>
      <w:r w:rsidRPr="00C25D62">
        <w:rPr>
          <w:i/>
        </w:rPr>
        <w:t>increase</w:t>
      </w:r>
      <w:r>
        <w:t xml:space="preserve"> in net </w:t>
      </w:r>
      <w:r w:rsidRPr="001128A8">
        <w:rPr>
          <w:b/>
        </w:rPr>
        <w:t>purchase</w:t>
      </w:r>
      <w:r>
        <w:t xml:space="preserve"> expenses under the </w:t>
      </w:r>
      <w:r w:rsidR="0008079D">
        <w:t>Factual case</w:t>
      </w:r>
      <w:r>
        <w:t xml:space="preserve"> due to a relatively </w:t>
      </w:r>
      <w:r w:rsidRPr="00C25D62">
        <w:rPr>
          <w:i/>
        </w:rPr>
        <w:t>lower</w:t>
      </w:r>
      <w:r>
        <w:t xml:space="preserve"> generation level than the </w:t>
      </w:r>
      <w:r w:rsidR="0008079D">
        <w:t>Counterfactual case</w:t>
      </w:r>
      <w:r>
        <w:t xml:space="preserve"> is based on the historical percentage blend of day-ahead and real-time purchase prices and quantities. </w:t>
      </w:r>
    </w:p>
    <w:p w:rsidR="002B4B12" w:rsidRDefault="002B4B12" w:rsidP="002B4B12">
      <w:pPr>
        <w:pStyle w:val="ListParagraph"/>
        <w:numPr>
          <w:ilvl w:val="0"/>
          <w:numId w:val="36"/>
        </w:numPr>
        <w:jc w:val="left"/>
      </w:pPr>
      <w:r>
        <w:t xml:space="preserve">An incremental </w:t>
      </w:r>
      <w:r w:rsidRPr="00C25D62">
        <w:rPr>
          <w:i/>
        </w:rPr>
        <w:t>decrease</w:t>
      </w:r>
      <w:r>
        <w:t xml:space="preserve"> in net </w:t>
      </w:r>
      <w:r w:rsidRPr="001128A8">
        <w:rPr>
          <w:b/>
        </w:rPr>
        <w:t>purchase</w:t>
      </w:r>
      <w:r>
        <w:t xml:space="preserve"> expenses under the </w:t>
      </w:r>
      <w:r w:rsidR="0008079D">
        <w:t xml:space="preserve">Factual case </w:t>
      </w:r>
      <w:r>
        <w:t xml:space="preserve">due to a relatively </w:t>
      </w:r>
      <w:r w:rsidRPr="00C25D62">
        <w:rPr>
          <w:i/>
        </w:rPr>
        <w:t>higher</w:t>
      </w:r>
      <w:r>
        <w:t xml:space="preserve"> generation level than the </w:t>
      </w:r>
      <w:r w:rsidR="0008079D">
        <w:t xml:space="preserve">Counterfactual case </w:t>
      </w:r>
      <w:r>
        <w:t xml:space="preserve">is based on the historical percentage blend of day-ahead and real-time purchase prices and quantities. </w:t>
      </w:r>
    </w:p>
    <w:p w:rsidR="002B4B12" w:rsidRDefault="002B4B12" w:rsidP="002B4B12">
      <w:pPr>
        <w:pStyle w:val="ListParagraph"/>
        <w:numPr>
          <w:ilvl w:val="0"/>
          <w:numId w:val="36"/>
        </w:numPr>
        <w:jc w:val="left"/>
      </w:pPr>
      <w:r>
        <w:t xml:space="preserve">An incremental </w:t>
      </w:r>
      <w:r w:rsidRPr="00C25D62">
        <w:rPr>
          <w:i/>
        </w:rPr>
        <w:t>increase</w:t>
      </w:r>
      <w:r>
        <w:t xml:space="preserve"> in net </w:t>
      </w:r>
      <w:r w:rsidRPr="001128A8">
        <w:rPr>
          <w:b/>
        </w:rPr>
        <w:t>sales</w:t>
      </w:r>
      <w:r>
        <w:t xml:space="preserve"> revenues under the </w:t>
      </w:r>
      <w:r w:rsidR="0008079D">
        <w:t>Factual case</w:t>
      </w:r>
      <w:r>
        <w:t xml:space="preserve"> due to a relatively </w:t>
      </w:r>
      <w:r w:rsidRPr="00C25D62">
        <w:rPr>
          <w:i/>
        </w:rPr>
        <w:t xml:space="preserve">higher </w:t>
      </w:r>
      <w:r>
        <w:t xml:space="preserve">generation level than the </w:t>
      </w:r>
      <w:r w:rsidR="0008079D">
        <w:t xml:space="preserve">Counterfactual case </w:t>
      </w:r>
      <w:r>
        <w:t xml:space="preserve">is based on the historical percentage blend of day-ahead and real-time sale prices and quantities. </w:t>
      </w:r>
    </w:p>
    <w:p w:rsidR="002B4B12" w:rsidRDefault="002B4B12" w:rsidP="002B4B12">
      <w:pPr>
        <w:pStyle w:val="ListParagraph"/>
        <w:numPr>
          <w:ilvl w:val="0"/>
          <w:numId w:val="36"/>
        </w:numPr>
        <w:jc w:val="left"/>
      </w:pPr>
      <w:r>
        <w:t xml:space="preserve">An incremental </w:t>
      </w:r>
      <w:r w:rsidRPr="00C25D62">
        <w:rPr>
          <w:i/>
        </w:rPr>
        <w:t>decrease</w:t>
      </w:r>
      <w:r>
        <w:t xml:space="preserve"> in net </w:t>
      </w:r>
      <w:r w:rsidRPr="001128A8">
        <w:rPr>
          <w:b/>
        </w:rPr>
        <w:t>sales</w:t>
      </w:r>
      <w:r>
        <w:t xml:space="preserve"> revenue under the </w:t>
      </w:r>
      <w:r w:rsidR="0008079D">
        <w:t xml:space="preserve">Factual case </w:t>
      </w:r>
      <w:r>
        <w:t xml:space="preserve">due to a relatively </w:t>
      </w:r>
      <w:r w:rsidRPr="00C25D62">
        <w:rPr>
          <w:i/>
        </w:rPr>
        <w:t xml:space="preserve">lower </w:t>
      </w:r>
      <w:r>
        <w:t xml:space="preserve">generation level than the </w:t>
      </w:r>
      <w:r w:rsidR="0008079D">
        <w:t xml:space="preserve">Counterfactual case </w:t>
      </w:r>
      <w:r>
        <w:t xml:space="preserve">is based on the historical percentage blend of day-ahead and real-time sale prices and quantities, </w:t>
      </w:r>
    </w:p>
    <w:p w:rsidR="002B4B12" w:rsidRDefault="002B4B12" w:rsidP="002B4B12">
      <w:pPr>
        <w:pStyle w:val="ListParagraph"/>
        <w:numPr>
          <w:ilvl w:val="0"/>
          <w:numId w:val="36"/>
        </w:numPr>
        <w:jc w:val="left"/>
      </w:pPr>
      <w:r>
        <w:t xml:space="preserve">Hourly energy sales to FES customers are identical under both </w:t>
      </w:r>
      <w:r w:rsidR="0008079D">
        <w:t>cases</w:t>
      </w:r>
      <w:r>
        <w:t xml:space="preserve"> and therefore cancel out when the comparative analysis is applied.</w:t>
      </w:r>
    </w:p>
    <w:p w:rsidR="002B4B12" w:rsidRDefault="002B4B12" w:rsidP="002B4B12">
      <w:pPr>
        <w:pStyle w:val="ListParagraph"/>
        <w:numPr>
          <w:ilvl w:val="0"/>
          <w:numId w:val="36"/>
        </w:numPr>
        <w:jc w:val="left"/>
      </w:pPr>
      <w:r>
        <w:t xml:space="preserve">All historical non-FES energy sales made in the same hour that the energy was purchased are held identical under both </w:t>
      </w:r>
      <w:r w:rsidR="0008079D">
        <w:t>cases</w:t>
      </w:r>
      <w:r>
        <w:t xml:space="preserve"> and therefore cancel out in the comparative cost calculation. </w:t>
      </w:r>
    </w:p>
    <w:p w:rsidR="002B4B12" w:rsidRDefault="002B4B12" w:rsidP="002B4B12">
      <w:pPr>
        <w:pStyle w:val="ListParagraph"/>
        <w:ind w:left="810"/>
      </w:pPr>
    </w:p>
    <w:p w:rsidR="0008079D" w:rsidRDefault="002B4B12" w:rsidP="002B4B12">
      <w:pPr>
        <w:spacing w:line="240" w:lineRule="auto"/>
      </w:pPr>
      <w:r>
        <w:t>This methodology leads to a reasonable approximation of the financial impacts of the HFE because it is based on the change in finances, not on absolute financial levels.  It also circumvents the need for computation of non</w:t>
      </w:r>
      <w:r w:rsidR="005442F7">
        <w:t>-</w:t>
      </w:r>
      <w:r>
        <w:t xml:space="preserve">hydropower energy arbitrage transactions that are assumed to be unaffected by the HFE. </w:t>
      </w:r>
    </w:p>
    <w:p w:rsidR="0008079D" w:rsidRDefault="0008079D" w:rsidP="002B4B12">
      <w:pPr>
        <w:spacing w:line="240" w:lineRule="auto"/>
      </w:pPr>
    </w:p>
    <w:p w:rsidR="0008079D" w:rsidRDefault="0008079D" w:rsidP="0008079D">
      <w:pPr>
        <w:pStyle w:val="Heading2"/>
        <w:jc w:val="left"/>
        <w:rPr>
          <w:sz w:val="24"/>
          <w:szCs w:val="24"/>
        </w:rPr>
      </w:pPr>
      <w:bookmarkStart w:id="41" w:name="_Toc19196975"/>
      <w:r w:rsidRPr="0008079D">
        <w:rPr>
          <w:sz w:val="24"/>
          <w:szCs w:val="24"/>
        </w:rPr>
        <w:t>Net Energy Revenues from Energy Transactions</w:t>
      </w:r>
      <w:bookmarkEnd w:id="41"/>
      <w:r w:rsidRPr="00CC7CA7">
        <w:rPr>
          <w:sz w:val="24"/>
          <w:szCs w:val="24"/>
        </w:rPr>
        <w:t xml:space="preserve"> </w:t>
      </w:r>
    </w:p>
    <w:p w:rsidR="0008079D" w:rsidRDefault="0008079D" w:rsidP="002B4B12">
      <w:pPr>
        <w:spacing w:line="240" w:lineRule="auto"/>
      </w:pPr>
    </w:p>
    <w:p w:rsidR="009D2EEA" w:rsidRPr="00E25099" w:rsidRDefault="009D2EEA" w:rsidP="009D2EEA">
      <w:pPr>
        <w:spacing w:line="240" w:lineRule="auto"/>
      </w:pPr>
      <w:r w:rsidRPr="00E25099">
        <w:t>In total, the HFE financial cost is estimated to be about $1.</w:t>
      </w:r>
      <w:r w:rsidR="000C2A78" w:rsidRPr="00E25099">
        <w:t>3</w:t>
      </w:r>
      <w:r w:rsidR="00E25099">
        <w:t>1</w:t>
      </w:r>
      <w:r w:rsidRPr="00E25099">
        <w:t xml:space="preserve"> million.</w:t>
      </w:r>
    </w:p>
    <w:p w:rsidR="009D2EEA" w:rsidRPr="00E25099" w:rsidRDefault="009D2EEA" w:rsidP="009D2EEA">
      <w:pPr>
        <w:spacing w:line="240" w:lineRule="auto"/>
      </w:pPr>
    </w:p>
    <w:p w:rsidR="005442F7" w:rsidRPr="00E25099" w:rsidRDefault="006A4EB2" w:rsidP="009D2EEA">
      <w:pPr>
        <w:spacing w:line="240" w:lineRule="auto"/>
      </w:pPr>
      <w:r w:rsidRPr="00E25099">
        <w:t xml:space="preserve">This financial cost has been calculated as the average of the three HFE financial costs that have been obtained for the three </w:t>
      </w:r>
      <w:r w:rsidR="005442F7">
        <w:t>computed</w:t>
      </w:r>
      <w:r w:rsidR="005442F7" w:rsidRPr="00E25099">
        <w:t xml:space="preserve"> </w:t>
      </w:r>
      <w:r w:rsidRPr="00E25099">
        <w:t>HFE water reallocation</w:t>
      </w:r>
      <w:r w:rsidR="005442F7">
        <w:t xml:space="preserve"> cases shown below</w:t>
      </w:r>
      <w:r w:rsidRPr="00E25099">
        <w:t>.</w:t>
      </w:r>
    </w:p>
    <w:p w:rsidR="005442F7" w:rsidRDefault="005442F7" w:rsidP="00E25099"/>
    <w:p w:rsidR="006A4EB2" w:rsidRPr="00E25099" w:rsidRDefault="005442F7" w:rsidP="006A4EB2">
      <w:pPr>
        <w:pStyle w:val="ListParagraph"/>
        <w:numPr>
          <w:ilvl w:val="0"/>
          <w:numId w:val="37"/>
        </w:numPr>
        <w:spacing w:line="240" w:lineRule="auto"/>
      </w:pPr>
      <w:r>
        <w:t xml:space="preserve">Counterfactual Case 1: </w:t>
      </w:r>
      <w:r w:rsidR="006A4EB2" w:rsidRPr="00E25099">
        <w:t>$1,</w:t>
      </w:r>
      <w:r w:rsidR="000C2A78" w:rsidRPr="00E25099">
        <w:t>3</w:t>
      </w:r>
      <w:r w:rsidR="00E25099">
        <w:t>6</w:t>
      </w:r>
      <w:r w:rsidR="000C2A78" w:rsidRPr="00E25099">
        <w:t>3</w:t>
      </w:r>
      <w:r w:rsidR="006A4EB2" w:rsidRPr="00E25099">
        <w:t>,000 when reallocating water in March and April,</w:t>
      </w:r>
    </w:p>
    <w:p w:rsidR="006A4EB2" w:rsidRPr="00E25099" w:rsidRDefault="005442F7" w:rsidP="006A4EB2">
      <w:pPr>
        <w:pStyle w:val="ListParagraph"/>
        <w:numPr>
          <w:ilvl w:val="0"/>
          <w:numId w:val="37"/>
        </w:numPr>
        <w:spacing w:line="240" w:lineRule="auto"/>
      </w:pPr>
      <w:r>
        <w:t xml:space="preserve">Counterfactual Case 2: </w:t>
      </w:r>
      <w:r w:rsidR="006A4EB2" w:rsidRPr="00E25099">
        <w:t>$1,</w:t>
      </w:r>
      <w:r w:rsidR="000C2A78" w:rsidRPr="00E25099">
        <w:t>3</w:t>
      </w:r>
      <w:r w:rsidR="00E25099">
        <w:t>35</w:t>
      </w:r>
      <w:r w:rsidR="006A4EB2" w:rsidRPr="00E25099">
        <w:t>,000 when reallocating water in March and May,</w:t>
      </w:r>
      <w:r>
        <w:t xml:space="preserve"> and</w:t>
      </w:r>
    </w:p>
    <w:p w:rsidR="006A4EB2" w:rsidRPr="00E25099" w:rsidRDefault="005442F7" w:rsidP="006A4EB2">
      <w:pPr>
        <w:pStyle w:val="ListParagraph"/>
        <w:numPr>
          <w:ilvl w:val="0"/>
          <w:numId w:val="37"/>
        </w:numPr>
        <w:spacing w:line="240" w:lineRule="auto"/>
      </w:pPr>
      <w:r>
        <w:t xml:space="preserve">Counterfactual Case 3: </w:t>
      </w:r>
      <w:r w:rsidR="006A4EB2" w:rsidRPr="00E25099">
        <w:t>$1,</w:t>
      </w:r>
      <w:r w:rsidR="000C2A78" w:rsidRPr="00E25099">
        <w:t>2</w:t>
      </w:r>
      <w:r w:rsidR="00E25099">
        <w:t>4</w:t>
      </w:r>
      <w:r w:rsidR="000C2A78" w:rsidRPr="00E25099">
        <w:t>1</w:t>
      </w:r>
      <w:r w:rsidR="006A4EB2" w:rsidRPr="00E25099">
        <w:t>,000 when reallocating water in April and May.</w:t>
      </w:r>
    </w:p>
    <w:p w:rsidR="006A4EB2" w:rsidRPr="00E25099" w:rsidRDefault="006A4EB2" w:rsidP="009D2EEA">
      <w:pPr>
        <w:spacing w:line="240" w:lineRule="auto"/>
      </w:pPr>
    </w:p>
    <w:p w:rsidR="009666F7" w:rsidRPr="00E25099" w:rsidRDefault="009D2EEA" w:rsidP="009D2EEA">
      <w:pPr>
        <w:spacing w:line="240" w:lineRule="auto"/>
      </w:pPr>
      <w:r w:rsidRPr="00E25099">
        <w:t xml:space="preserve">Monthly HFE financial costs associated to the three Counterfactual cases </w:t>
      </w:r>
      <w:r w:rsidR="002104A3">
        <w:t xml:space="preserve">analyzed in this study </w:t>
      </w:r>
      <w:r w:rsidRPr="00E25099">
        <w:t>are shown in Figure 5.</w:t>
      </w:r>
      <w:r w:rsidR="00DF6F28" w:rsidRPr="00E25099">
        <w:t>2</w:t>
      </w:r>
      <w:r w:rsidRPr="00E25099">
        <w:t xml:space="preserve">. </w:t>
      </w:r>
    </w:p>
    <w:p w:rsidR="009666F7" w:rsidRPr="00E25099" w:rsidRDefault="00B93705" w:rsidP="009D2EEA">
      <w:pPr>
        <w:spacing w:line="240" w:lineRule="auto"/>
      </w:pPr>
      <w:r w:rsidRPr="00B93705">
        <w:rPr>
          <w:noProof/>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5943600" cy="3575042"/>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575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1BC" w:rsidRPr="00E25099">
        <w:rPr>
          <w:noProof/>
        </w:rPr>
        <mc:AlternateContent>
          <mc:Choice Requires="wps">
            <w:drawing>
              <wp:anchor distT="0" distB="0" distL="114300" distR="114300" simplePos="0" relativeHeight="251676672" behindDoc="0" locked="0" layoutInCell="1" allowOverlap="1" wp14:anchorId="49C66405" wp14:editId="72FA4084">
                <wp:simplePos x="0" y="0"/>
                <wp:positionH relativeFrom="column">
                  <wp:posOffset>-1270</wp:posOffset>
                </wp:positionH>
                <wp:positionV relativeFrom="paragraph">
                  <wp:posOffset>3564902</wp:posOffset>
                </wp:positionV>
                <wp:extent cx="5943600" cy="635"/>
                <wp:effectExtent l="0" t="0" r="0" b="0"/>
                <wp:wrapTopAndBottom/>
                <wp:docPr id="20" name="Text Box 20"/>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E25099" w:rsidRPr="0060259B" w:rsidRDefault="00E25099" w:rsidP="00DF6F28">
                            <w:pPr>
                              <w:pStyle w:val="Caption"/>
                              <w:jc w:val="center"/>
                            </w:pPr>
                            <w:bookmarkStart w:id="42" w:name="_Toc19196932"/>
                            <w:r>
                              <w:t xml:space="preserve">Figure </w:t>
                            </w:r>
                            <w:r w:rsidR="00CE27EE">
                              <w:rPr>
                                <w:noProof/>
                              </w:rPr>
                              <w:fldChar w:fldCharType="begin"/>
                            </w:r>
                            <w:r w:rsidR="00CE27EE">
                              <w:rPr>
                                <w:noProof/>
                              </w:rPr>
                              <w:instrText xml:space="preserve"> STYLEREF 1 \s </w:instrText>
                            </w:r>
                            <w:r w:rsidR="00CE27EE">
                              <w:rPr>
                                <w:noProof/>
                              </w:rPr>
                              <w:fldChar w:fldCharType="separate"/>
                            </w:r>
                            <w:r>
                              <w:rPr>
                                <w:noProof/>
                              </w:rPr>
                              <w:t>5</w:t>
                            </w:r>
                            <w:r w:rsidR="00CE27EE">
                              <w:rPr>
                                <w:noProof/>
                              </w:rPr>
                              <w:fldChar w:fldCharType="end"/>
                            </w:r>
                            <w:r>
                              <w:noBreakHyphen/>
                            </w:r>
                            <w:r w:rsidR="00CE27EE">
                              <w:rPr>
                                <w:noProof/>
                              </w:rPr>
                              <w:fldChar w:fldCharType="begin"/>
                            </w:r>
                            <w:r w:rsidR="00CE27EE">
                              <w:rPr>
                                <w:noProof/>
                              </w:rPr>
                              <w:instrText xml:space="preserve"> SEQ Figure \* ARABIC \s 1 </w:instrText>
                            </w:r>
                            <w:r w:rsidR="00CE27EE">
                              <w:rPr>
                                <w:noProof/>
                              </w:rPr>
                              <w:fldChar w:fldCharType="separate"/>
                            </w:r>
                            <w:r>
                              <w:rPr>
                                <w:noProof/>
                              </w:rPr>
                              <w:t>2</w:t>
                            </w:r>
                            <w:r w:rsidR="00CE27EE">
                              <w:rPr>
                                <w:noProof/>
                              </w:rPr>
                              <w:fldChar w:fldCharType="end"/>
                            </w:r>
                            <w:r>
                              <w:t xml:space="preserve"> Cost of the HFE in WY 2019</w:t>
                            </w:r>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C66405" id="Text Box 20" o:spid="_x0000_s1033" type="#_x0000_t202" style="position:absolute;left:0;text-align:left;margin-left:-.1pt;margin-top:280.7pt;width:468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" stroked="f">
                <v:textbox style="mso-fit-shape-to-text:t" inset="0,0,0,0">
                  <w:txbxContent>
                    <w:p w:rsidR="00E25099" w:rsidRPr="0060259B" w:rsidRDefault="00E25099" w:rsidP="00DF6F28">
                      <w:pPr>
                        <w:pStyle w:val="Caption"/>
                        <w:jc w:val="center"/>
                      </w:pPr>
                      <w:bookmarkStart w:id="47" w:name="_Toc19196932"/>
                      <w:r>
                        <w:t xml:space="preserve">Figure </w:t>
                      </w:r>
                      <w:fldSimple w:instr=" STYLEREF 1 \s ">
                        <w:r>
                          <w:rPr>
                            <w:noProof/>
                          </w:rPr>
                          <w:t>5</w:t>
                        </w:r>
                      </w:fldSimple>
                      <w:r>
                        <w:noBreakHyphen/>
                      </w:r>
                      <w:fldSimple w:instr=" SEQ Figure \* ARABIC \s 1 ">
                        <w:r>
                          <w:rPr>
                            <w:noProof/>
                          </w:rPr>
                          <w:t>2</w:t>
                        </w:r>
                      </w:fldSimple>
                      <w:r>
                        <w:t xml:space="preserve"> Cost of the HFE in WY 2019</w:t>
                      </w:r>
                      <w:bookmarkEnd w:id="47"/>
                    </w:p>
                  </w:txbxContent>
                </v:textbox>
                <w10:wrap type="topAndBottom"/>
              </v:shape>
            </w:pict>
          </mc:Fallback>
        </mc:AlternateContent>
      </w:r>
    </w:p>
    <w:p w:rsidR="00422193" w:rsidRPr="00E25099" w:rsidRDefault="002104A3" w:rsidP="009D2EEA">
      <w:pPr>
        <w:spacing w:line="240" w:lineRule="auto"/>
      </w:pPr>
      <w:r>
        <w:t>All</w:t>
      </w:r>
      <w:r w:rsidR="008E290F" w:rsidRPr="00E25099">
        <w:t xml:space="preserve"> three </w:t>
      </w:r>
      <w:r>
        <w:t xml:space="preserve">of the Counterfactual </w:t>
      </w:r>
      <w:r w:rsidR="008E290F" w:rsidRPr="00E25099">
        <w:t>water reallocation</w:t>
      </w:r>
      <w:r>
        <w:t xml:space="preserve"> cases show</w:t>
      </w:r>
      <w:r w:rsidR="008E290F" w:rsidRPr="00E25099">
        <w:t xml:space="preserve"> t</w:t>
      </w:r>
      <w:r w:rsidR="009D2EEA" w:rsidRPr="00E25099">
        <w:t xml:space="preserve">he largest financial cost of the HFE </w:t>
      </w:r>
      <w:r w:rsidRPr="005442F7">
        <w:t>occur</w:t>
      </w:r>
      <w:r w:rsidR="009D2EEA" w:rsidRPr="00E25099">
        <w:t xml:space="preserve"> during </w:t>
      </w:r>
      <w:r w:rsidR="008E290F" w:rsidRPr="00E25099">
        <w:t>November</w:t>
      </w:r>
      <w:r w:rsidR="009D2EEA" w:rsidRPr="00E25099">
        <w:t xml:space="preserve"> with </w:t>
      </w:r>
      <w:r w:rsidR="008E290F" w:rsidRPr="00E25099">
        <w:t xml:space="preserve">the same </w:t>
      </w:r>
      <w:r w:rsidR="009D2EEA" w:rsidRPr="00E25099">
        <w:t>financial losses of about $</w:t>
      </w:r>
      <w:r w:rsidR="000C2A78" w:rsidRPr="00E25099">
        <w:t>950</w:t>
      </w:r>
      <w:r w:rsidR="008E290F" w:rsidRPr="00E25099">
        <w:t>,000</w:t>
      </w:r>
      <w:r w:rsidR="009D2EEA" w:rsidRPr="00E25099">
        <w:t>. These costs are mainly attributed to</w:t>
      </w:r>
      <w:r w:rsidR="00DF6F28" w:rsidRPr="00E25099">
        <w:t xml:space="preserve"> the reduced turbine releases during the non-HFE days (i.e.</w:t>
      </w:r>
      <w:r>
        <w:t>,</w:t>
      </w:r>
      <w:r w:rsidR="00DF6F28" w:rsidRPr="00E25099">
        <w:t xml:space="preserve"> </w:t>
      </w:r>
      <w:r>
        <w:t xml:space="preserve">between </w:t>
      </w:r>
      <w:r w:rsidR="00DF6F28" w:rsidRPr="00E25099">
        <w:t xml:space="preserve">November 1-4 and November 9-30). </w:t>
      </w:r>
      <w:r>
        <w:t>A</w:t>
      </w:r>
      <w:r w:rsidR="0092246A" w:rsidRPr="00E25099">
        <w:t>s shown in Table 5.1, the HFE costs during non-HFE days amount to $1,6</w:t>
      </w:r>
      <w:r w:rsidR="000C2A78" w:rsidRPr="00E25099">
        <w:t>71</w:t>
      </w:r>
      <w:r w:rsidR="0092246A" w:rsidRPr="00E25099">
        <w:t>,000. They were</w:t>
      </w:r>
      <w:r w:rsidR="009666F7" w:rsidRPr="00E25099">
        <w:t xml:space="preserve"> partially</w:t>
      </w:r>
      <w:r w:rsidR="0092246A" w:rsidRPr="00E25099">
        <w:t xml:space="preserve"> compensated by net benefits of $721,000 during the 4 days of the experiments, </w:t>
      </w:r>
      <w:r w:rsidR="005442F7">
        <w:t>because of</w:t>
      </w:r>
      <w:r w:rsidR="005442F7" w:rsidRPr="00E25099">
        <w:t xml:space="preserve"> </w:t>
      </w:r>
      <w:r w:rsidR="0092246A" w:rsidRPr="00E25099">
        <w:t>an exceptionally high generation level of 830 MW during 70 hours</w:t>
      </w:r>
      <w:r w:rsidR="00F03D2D" w:rsidRPr="00E25099">
        <w:t xml:space="preserve"> </w:t>
      </w:r>
      <w:r>
        <w:t xml:space="preserve">of </w:t>
      </w:r>
      <w:r w:rsidR="00F03D2D" w:rsidRPr="00E25099">
        <w:t>high release</w:t>
      </w:r>
      <w:r>
        <w:t>s</w:t>
      </w:r>
      <w:r w:rsidR="0092246A" w:rsidRPr="00E25099">
        <w:t>.</w:t>
      </w:r>
      <w:r w:rsidR="009666F7" w:rsidRPr="00E25099">
        <w:t xml:space="preserve"> </w:t>
      </w:r>
      <w:r w:rsidR="005442F7">
        <w:t xml:space="preserve"> </w:t>
      </w:r>
      <w:r>
        <w:t>However, d</w:t>
      </w:r>
      <w:r w:rsidR="005442F7">
        <w:t xml:space="preserve">ue to a lack of trading partners willing to buy the energy at the prevailing market price, the excess energy generation </w:t>
      </w:r>
      <w:r>
        <w:t xml:space="preserve">(i.e., productions above FES load) </w:t>
      </w:r>
      <w:r w:rsidR="005442F7">
        <w:t xml:space="preserve">sold during the HFE was </w:t>
      </w:r>
      <w:r>
        <w:t>on average at a very low price</w:t>
      </w:r>
      <w:r w:rsidR="005442F7">
        <w:t>.</w:t>
      </w:r>
    </w:p>
    <w:p w:rsidR="00C44BB9" w:rsidRPr="00E25099" w:rsidRDefault="00C44BB9" w:rsidP="009D2EEA">
      <w:pPr>
        <w:spacing w:line="240" w:lineRule="auto"/>
      </w:pPr>
    </w:p>
    <w:p w:rsidR="00C44BB9" w:rsidRPr="005442F7" w:rsidRDefault="00C44BB9" w:rsidP="00C44BB9">
      <w:pPr>
        <w:pStyle w:val="Caption"/>
        <w:keepNext/>
        <w:jc w:val="center"/>
      </w:pPr>
      <w:bookmarkStart w:id="43" w:name="_Toc19196922"/>
      <w:r w:rsidRPr="00E25099">
        <w:t xml:space="preserve">Table </w:t>
      </w:r>
      <w:r w:rsidR="00CE27EE">
        <w:rPr>
          <w:noProof/>
        </w:rPr>
        <w:fldChar w:fldCharType="begin"/>
      </w:r>
      <w:r w:rsidR="00CE27EE">
        <w:rPr>
          <w:noProof/>
        </w:rPr>
        <w:instrText xml:space="preserve"> STYLEREF 1 \s </w:instrText>
      </w:r>
      <w:r w:rsidR="00CE27EE">
        <w:rPr>
          <w:noProof/>
        </w:rPr>
        <w:fldChar w:fldCharType="separate"/>
      </w:r>
      <w:r w:rsidRPr="00E25099">
        <w:rPr>
          <w:noProof/>
        </w:rPr>
        <w:t>5</w:t>
      </w:r>
      <w:r w:rsidR="00CE27EE">
        <w:rPr>
          <w:noProof/>
        </w:rPr>
        <w:fldChar w:fldCharType="end"/>
      </w:r>
      <w:r w:rsidRPr="00E25099">
        <w:noBreakHyphen/>
      </w:r>
      <w:r w:rsidR="00CE27EE">
        <w:rPr>
          <w:noProof/>
        </w:rPr>
        <w:fldChar w:fldCharType="begin"/>
      </w:r>
      <w:r w:rsidR="00CE27EE">
        <w:rPr>
          <w:noProof/>
        </w:rPr>
        <w:instrText xml:space="preserve"> SEQ Table \* ARABIC \s 1 </w:instrText>
      </w:r>
      <w:r w:rsidR="00CE27EE">
        <w:rPr>
          <w:noProof/>
        </w:rPr>
        <w:fldChar w:fldCharType="separate"/>
      </w:r>
      <w:r w:rsidRPr="00E25099">
        <w:rPr>
          <w:noProof/>
        </w:rPr>
        <w:t>1</w:t>
      </w:r>
      <w:r w:rsidR="00CE27EE">
        <w:rPr>
          <w:noProof/>
        </w:rPr>
        <w:fldChar w:fldCharType="end"/>
      </w:r>
      <w:r w:rsidRPr="00E25099">
        <w:t xml:space="preserve"> Repartition of HFE costs</w:t>
      </w:r>
      <w:bookmarkEnd w:id="43"/>
    </w:p>
    <w:tbl>
      <w:tblPr>
        <w:tblpPr w:leftFromText="180" w:rightFromText="180" w:vertAnchor="text" w:horzAnchor="margin" w:tblpXSpec="center" w:tblpY="92"/>
        <w:tblW w:w="3235" w:type="dxa"/>
        <w:tblLayout w:type="fixed"/>
        <w:tblCellMar>
          <w:left w:w="58" w:type="dxa"/>
          <w:right w:w="58" w:type="dxa"/>
        </w:tblCellMar>
        <w:tblLook w:val="04A0" w:firstRow="1" w:lastRow="0" w:firstColumn="1" w:lastColumn="0" w:noHBand="0" w:noVBand="1"/>
      </w:tblPr>
      <w:tblGrid>
        <w:gridCol w:w="1990"/>
        <w:gridCol w:w="1245"/>
      </w:tblGrid>
      <w:tr w:rsidR="00C44BB9" w:rsidRPr="005442F7" w:rsidTr="00C44BB9">
        <w:trPr>
          <w:trHeight w:val="542"/>
          <w:tblHeader/>
        </w:trPr>
        <w:tc>
          <w:tcPr>
            <w:tcW w:w="3235" w:type="dxa"/>
            <w:gridSpan w:val="2"/>
            <w:tcBorders>
              <w:top w:val="single" w:sz="4" w:space="0" w:color="auto"/>
              <w:bottom w:val="single" w:sz="4" w:space="0" w:color="auto"/>
            </w:tcBorders>
            <w:shd w:val="clear" w:color="auto" w:fill="auto"/>
            <w:vAlign w:val="center"/>
          </w:tcPr>
          <w:p w:rsidR="00C44BB9" w:rsidRPr="00E25099" w:rsidRDefault="00C44BB9" w:rsidP="00C44BB9">
            <w:pPr>
              <w:jc w:val="center"/>
              <w:rPr>
                <w:rFonts w:ascii="Arial" w:hAnsi="Arial" w:cs="Arial"/>
                <w:bCs/>
                <w:sz w:val="18"/>
                <w:szCs w:val="18"/>
              </w:rPr>
            </w:pPr>
            <w:r w:rsidRPr="00E25099">
              <w:rPr>
                <w:rFonts w:ascii="Arial" w:hAnsi="Arial" w:cs="Arial"/>
                <w:sz w:val="18"/>
                <w:szCs w:val="18"/>
              </w:rPr>
              <w:br w:type="page"/>
            </w:r>
            <w:r w:rsidRPr="00E25099">
              <w:rPr>
                <w:rFonts w:ascii="Arial" w:hAnsi="Arial" w:cs="Arial"/>
                <w:sz w:val="18"/>
                <w:szCs w:val="18"/>
              </w:rPr>
              <w:br w:type="page"/>
              <w:t>HFE costs in November 2018</w:t>
            </w:r>
          </w:p>
        </w:tc>
      </w:tr>
      <w:tr w:rsidR="00C44BB9" w:rsidRPr="005442F7" w:rsidTr="00C44BB9">
        <w:trPr>
          <w:trHeight w:val="289"/>
          <w:tblHeader/>
        </w:trPr>
        <w:tc>
          <w:tcPr>
            <w:tcW w:w="1990" w:type="dxa"/>
            <w:tcBorders>
              <w:top w:val="single" w:sz="4" w:space="0" w:color="auto"/>
              <w:bottom w:val="single" w:sz="4" w:space="0" w:color="auto"/>
            </w:tcBorders>
            <w:shd w:val="clear" w:color="auto" w:fill="auto"/>
            <w:vAlign w:val="bottom"/>
          </w:tcPr>
          <w:p w:rsidR="00C44BB9" w:rsidRPr="00E25099" w:rsidRDefault="00C44BB9" w:rsidP="00C44BB9">
            <w:pPr>
              <w:jc w:val="left"/>
              <w:rPr>
                <w:rFonts w:ascii="Arial" w:hAnsi="Arial" w:cs="Arial"/>
                <w:sz w:val="18"/>
                <w:szCs w:val="18"/>
              </w:rPr>
            </w:pPr>
            <w:r w:rsidRPr="00E25099">
              <w:rPr>
                <w:rFonts w:ascii="Arial" w:hAnsi="Arial" w:cs="Arial"/>
                <w:sz w:val="18"/>
                <w:szCs w:val="18"/>
              </w:rPr>
              <w:t>During HFE days (5-8)</w:t>
            </w:r>
          </w:p>
        </w:tc>
        <w:tc>
          <w:tcPr>
            <w:tcW w:w="1245" w:type="dxa"/>
            <w:tcBorders>
              <w:top w:val="single" w:sz="4" w:space="0" w:color="auto"/>
              <w:bottom w:val="single" w:sz="4" w:space="0" w:color="auto"/>
            </w:tcBorders>
            <w:shd w:val="clear" w:color="auto" w:fill="auto"/>
            <w:vAlign w:val="bottom"/>
          </w:tcPr>
          <w:p w:rsidR="00C44BB9" w:rsidRPr="00E25099" w:rsidRDefault="00C44BB9" w:rsidP="00C44BB9">
            <w:pPr>
              <w:jc w:val="right"/>
              <w:rPr>
                <w:rFonts w:ascii="Arial" w:hAnsi="Arial" w:cs="Arial"/>
                <w:bCs/>
                <w:sz w:val="18"/>
                <w:szCs w:val="18"/>
              </w:rPr>
            </w:pPr>
            <w:r w:rsidRPr="00E25099">
              <w:rPr>
                <w:rFonts w:ascii="Arial" w:hAnsi="Arial" w:cs="Arial"/>
                <w:bCs/>
                <w:sz w:val="18"/>
                <w:szCs w:val="18"/>
              </w:rPr>
              <w:t>- $721,000</w:t>
            </w:r>
          </w:p>
        </w:tc>
      </w:tr>
      <w:tr w:rsidR="00C44BB9" w:rsidRPr="005442F7" w:rsidTr="00C44BB9">
        <w:trPr>
          <w:trHeight w:val="296"/>
          <w:tblHeader/>
        </w:trPr>
        <w:tc>
          <w:tcPr>
            <w:tcW w:w="1990" w:type="dxa"/>
            <w:tcBorders>
              <w:top w:val="single" w:sz="4" w:space="0" w:color="auto"/>
              <w:bottom w:val="single" w:sz="4" w:space="0" w:color="auto"/>
            </w:tcBorders>
            <w:shd w:val="clear" w:color="auto" w:fill="auto"/>
            <w:vAlign w:val="bottom"/>
          </w:tcPr>
          <w:p w:rsidR="00C44BB9" w:rsidRPr="00E25099" w:rsidRDefault="00C44BB9" w:rsidP="00C44BB9">
            <w:pPr>
              <w:jc w:val="left"/>
              <w:rPr>
                <w:rFonts w:ascii="Arial" w:hAnsi="Arial" w:cs="Arial"/>
                <w:sz w:val="18"/>
                <w:szCs w:val="18"/>
              </w:rPr>
            </w:pPr>
            <w:r w:rsidRPr="00E25099">
              <w:rPr>
                <w:rFonts w:ascii="Arial" w:hAnsi="Arial" w:cs="Arial"/>
                <w:sz w:val="18"/>
                <w:szCs w:val="18"/>
              </w:rPr>
              <w:t>During non-HFE days</w:t>
            </w:r>
          </w:p>
        </w:tc>
        <w:tc>
          <w:tcPr>
            <w:tcW w:w="1245" w:type="dxa"/>
            <w:tcBorders>
              <w:top w:val="single" w:sz="4" w:space="0" w:color="auto"/>
              <w:bottom w:val="single" w:sz="4" w:space="0" w:color="auto"/>
            </w:tcBorders>
            <w:shd w:val="clear" w:color="auto" w:fill="auto"/>
            <w:vAlign w:val="bottom"/>
          </w:tcPr>
          <w:p w:rsidR="00C44BB9" w:rsidRPr="00E25099" w:rsidRDefault="00C44BB9" w:rsidP="00C44BB9">
            <w:pPr>
              <w:jc w:val="right"/>
              <w:rPr>
                <w:rFonts w:ascii="Arial" w:hAnsi="Arial" w:cs="Arial"/>
                <w:bCs/>
                <w:sz w:val="18"/>
                <w:szCs w:val="18"/>
              </w:rPr>
            </w:pPr>
            <w:r w:rsidRPr="00E25099">
              <w:rPr>
                <w:rFonts w:ascii="Arial" w:hAnsi="Arial" w:cs="Arial"/>
                <w:bCs/>
                <w:sz w:val="18"/>
                <w:szCs w:val="18"/>
              </w:rPr>
              <w:t>$1,671,000</w:t>
            </w:r>
          </w:p>
        </w:tc>
      </w:tr>
      <w:tr w:rsidR="00C44BB9" w:rsidRPr="005442F7" w:rsidTr="00C44BB9">
        <w:trPr>
          <w:trHeight w:val="281"/>
        </w:trPr>
        <w:tc>
          <w:tcPr>
            <w:tcW w:w="1990" w:type="dxa"/>
            <w:tcBorders>
              <w:top w:val="single" w:sz="4" w:space="0" w:color="auto"/>
              <w:bottom w:val="single" w:sz="4" w:space="0" w:color="auto"/>
            </w:tcBorders>
            <w:shd w:val="clear" w:color="auto" w:fill="auto"/>
            <w:vAlign w:val="bottom"/>
          </w:tcPr>
          <w:p w:rsidR="00C44BB9" w:rsidRPr="00E25099" w:rsidRDefault="00C44BB9" w:rsidP="00C44BB9">
            <w:pPr>
              <w:jc w:val="left"/>
              <w:rPr>
                <w:rFonts w:ascii="Arial" w:hAnsi="Arial" w:cs="Arial"/>
                <w:sz w:val="18"/>
                <w:szCs w:val="18"/>
              </w:rPr>
            </w:pPr>
            <w:r w:rsidRPr="00E25099">
              <w:rPr>
                <w:rFonts w:ascii="Arial" w:hAnsi="Arial" w:cs="Arial"/>
                <w:sz w:val="18"/>
                <w:szCs w:val="18"/>
              </w:rPr>
              <w:t xml:space="preserve">Total </w:t>
            </w:r>
          </w:p>
        </w:tc>
        <w:tc>
          <w:tcPr>
            <w:tcW w:w="1245" w:type="dxa"/>
            <w:tcBorders>
              <w:top w:val="single" w:sz="4" w:space="0" w:color="auto"/>
              <w:bottom w:val="single" w:sz="4" w:space="0" w:color="auto"/>
            </w:tcBorders>
            <w:shd w:val="clear" w:color="auto" w:fill="auto"/>
            <w:vAlign w:val="bottom"/>
          </w:tcPr>
          <w:p w:rsidR="00C44BB9" w:rsidRPr="00E25099" w:rsidRDefault="00C44BB9" w:rsidP="00C44BB9">
            <w:pPr>
              <w:jc w:val="right"/>
              <w:rPr>
                <w:rFonts w:ascii="Arial" w:hAnsi="Arial" w:cs="Arial"/>
                <w:sz w:val="18"/>
                <w:szCs w:val="18"/>
              </w:rPr>
            </w:pPr>
            <w:r w:rsidRPr="00E25099">
              <w:rPr>
                <w:rFonts w:ascii="Arial" w:hAnsi="Arial" w:cs="Arial"/>
                <w:bCs/>
                <w:sz w:val="18"/>
                <w:szCs w:val="18"/>
              </w:rPr>
              <w:t>$950,000</w:t>
            </w:r>
          </w:p>
        </w:tc>
      </w:tr>
    </w:tbl>
    <w:p w:rsidR="00C44BB9" w:rsidRPr="00E25099" w:rsidRDefault="00C44BB9" w:rsidP="009D2EEA">
      <w:pPr>
        <w:spacing w:line="240" w:lineRule="auto"/>
      </w:pPr>
    </w:p>
    <w:p w:rsidR="00C44BB9" w:rsidRPr="00E25099" w:rsidRDefault="00C44BB9" w:rsidP="009D2EEA">
      <w:pPr>
        <w:spacing w:line="240" w:lineRule="auto"/>
      </w:pPr>
    </w:p>
    <w:p w:rsidR="00C44BB9" w:rsidRPr="00E25099" w:rsidRDefault="00C44BB9" w:rsidP="009D2EEA">
      <w:pPr>
        <w:spacing w:line="240" w:lineRule="auto"/>
      </w:pPr>
    </w:p>
    <w:p w:rsidR="00C44BB9" w:rsidRPr="00E25099" w:rsidRDefault="00C44BB9" w:rsidP="009D2EEA">
      <w:pPr>
        <w:spacing w:line="240" w:lineRule="auto"/>
      </w:pPr>
    </w:p>
    <w:p w:rsidR="00C44BB9" w:rsidRPr="00E25099" w:rsidRDefault="00C44BB9" w:rsidP="009D2EEA">
      <w:pPr>
        <w:spacing w:line="240" w:lineRule="auto"/>
      </w:pPr>
    </w:p>
    <w:p w:rsidR="00C44BB9" w:rsidRPr="00E25099" w:rsidRDefault="00C44BB9" w:rsidP="009D2EEA">
      <w:pPr>
        <w:spacing w:line="240" w:lineRule="auto"/>
      </w:pPr>
    </w:p>
    <w:p w:rsidR="00422193" w:rsidRPr="00E25099" w:rsidRDefault="00422193" w:rsidP="009D2EEA">
      <w:pPr>
        <w:spacing w:line="240" w:lineRule="auto"/>
      </w:pPr>
    </w:p>
    <w:p w:rsidR="00183847" w:rsidRDefault="003A73B3" w:rsidP="009D2EEA">
      <w:pPr>
        <w:spacing w:line="240" w:lineRule="auto"/>
      </w:pPr>
      <w:r>
        <w:t xml:space="preserve">Relative to the Counterfactual case, </w:t>
      </w:r>
      <w:r w:rsidR="009666F7" w:rsidRPr="00E25099">
        <w:t xml:space="preserve"> </w:t>
      </w:r>
      <w:r>
        <w:t>November’s monthly water release was 3</w:t>
      </w:r>
      <w:r w:rsidR="009666F7" w:rsidRPr="00E25099">
        <w:t xml:space="preserve">7 TAF </w:t>
      </w:r>
      <w:r>
        <w:t xml:space="preserve">higher than the Factual case to support the HFE. More than </w:t>
      </w:r>
      <w:r w:rsidR="00C44BB9" w:rsidRPr="00E25099">
        <w:t xml:space="preserve">77 TAF of water </w:t>
      </w:r>
      <w:r>
        <w:t>however was</w:t>
      </w:r>
      <w:r w:rsidR="009666F7" w:rsidRPr="00E25099">
        <w:t xml:space="preserve"> bypassed </w:t>
      </w:r>
      <w:r w:rsidR="007D73F0" w:rsidRPr="00E25099">
        <w:t>during the HFE days instead of being converted into electricity. Therefore, despite an increase of 37 TAF of total water release, there was actually a decrease of 40 TAF of turbine water release</w:t>
      </w:r>
      <w:r>
        <w:t>s</w:t>
      </w:r>
      <w:r w:rsidR="007D73F0" w:rsidRPr="00E25099">
        <w:t xml:space="preserve"> in the Factual case in November </w:t>
      </w:r>
      <w:r w:rsidR="005442F7">
        <w:t xml:space="preserve">(i.e., 77 TAF minus 37 TAF) </w:t>
      </w:r>
      <w:r w:rsidR="007D73F0" w:rsidRPr="00E25099">
        <w:t>compared to the Counterfactual cases</w:t>
      </w:r>
      <w:r>
        <w:t>.</w:t>
      </w:r>
      <w:r w:rsidR="007D73F0" w:rsidRPr="00E25099">
        <w:t xml:space="preserve"> </w:t>
      </w:r>
      <w:r>
        <w:t xml:space="preserve">This resulted in 18 GWh </w:t>
      </w:r>
      <w:r w:rsidR="007D73F0" w:rsidRPr="00E25099">
        <w:t xml:space="preserve">less </w:t>
      </w:r>
      <w:r>
        <w:t xml:space="preserve">energy </w:t>
      </w:r>
      <w:r w:rsidR="007D73F0" w:rsidRPr="00E25099">
        <w:t>produc</w:t>
      </w:r>
      <w:r>
        <w:t xml:space="preserve">tion during November under the Factual case. </w:t>
      </w:r>
      <w:r w:rsidR="007D73F0" w:rsidRPr="00E25099">
        <w:t xml:space="preserve"> More specifically, 248 GWh of electricity was generated by GCD </w:t>
      </w:r>
      <w:r>
        <w:t>Powerplant under</w:t>
      </w:r>
      <w:r w:rsidR="007D73F0" w:rsidRPr="00E25099">
        <w:t xml:space="preserve"> the Factual case (with the HFE), compared to 266 GWh of electricity in </w:t>
      </w:r>
      <w:r w:rsidR="00C44BB9" w:rsidRPr="00E25099">
        <w:t>each</w:t>
      </w:r>
      <w:r w:rsidR="007D73F0" w:rsidRPr="00E25099">
        <w:t xml:space="preserve"> of the three Counterfactual cases. Th</w:t>
      </w:r>
      <w:r w:rsidR="00425ED7">
        <w:t xml:space="preserve">ese </w:t>
      </w:r>
      <w:r w:rsidR="001B1067">
        <w:t>non-power releases</w:t>
      </w:r>
      <w:r w:rsidR="007D73F0" w:rsidRPr="00E25099">
        <w:t xml:space="preserve"> </w:t>
      </w:r>
      <w:r w:rsidR="001B1067">
        <w:t>are</w:t>
      </w:r>
      <w:r w:rsidR="007D73F0" w:rsidRPr="00E25099">
        <w:t xml:space="preserve"> the </w:t>
      </w:r>
      <w:r w:rsidR="001B1067">
        <w:t>primary cause</w:t>
      </w:r>
      <w:r w:rsidR="007D73F0" w:rsidRPr="00E25099">
        <w:t xml:space="preserve"> of the large HFE costs in November.</w:t>
      </w:r>
    </w:p>
    <w:p w:rsidR="001B1067" w:rsidRDefault="001B1067" w:rsidP="009D2EEA">
      <w:pPr>
        <w:spacing w:line="240" w:lineRule="auto"/>
      </w:pPr>
    </w:p>
    <w:p w:rsidR="001B1067" w:rsidRPr="00E25099" w:rsidRDefault="001B1067" w:rsidP="009D2EEA">
      <w:pPr>
        <w:spacing w:line="240" w:lineRule="auto"/>
      </w:pPr>
      <w:r>
        <w:t xml:space="preserve">After November, all three Counterfactual cases also have identical HFE </w:t>
      </w:r>
      <w:r w:rsidR="00F661DA">
        <w:t xml:space="preserve">costs during December, January, and February even though the Factual and all Counterfactual cases release identical amount of water during each of these three months. These small costs are attributed to a lower Lake Powell elevation and hence a lower Powerplant PCF under the Factual case because 37 TAF more water was released to support the HFE.   </w:t>
      </w:r>
    </w:p>
    <w:p w:rsidR="00F661DA" w:rsidRDefault="00F661DA" w:rsidP="007D73F0">
      <w:pPr>
        <w:spacing w:line="240" w:lineRule="auto"/>
      </w:pPr>
    </w:p>
    <w:p w:rsidR="004663F1" w:rsidRDefault="00F661DA" w:rsidP="007D73F0">
      <w:pPr>
        <w:spacing w:line="240" w:lineRule="auto"/>
      </w:pPr>
      <w:r>
        <w:t>T</w:t>
      </w:r>
      <w:r w:rsidR="001B1067">
        <w:t xml:space="preserve">he </w:t>
      </w:r>
      <w:r w:rsidR="00183847" w:rsidRPr="00E25099">
        <w:t>remaining financial costs occurred during the months in w</w:t>
      </w:r>
      <w:r w:rsidR="007F61BC" w:rsidRPr="00E25099">
        <w:t>hich the 37 TAF of HFE water were</w:t>
      </w:r>
      <w:r w:rsidR="00183847" w:rsidRPr="00E25099">
        <w:t xml:space="preserve"> reallocated. </w:t>
      </w:r>
      <w:r w:rsidR="00EE0472" w:rsidRPr="00E25099">
        <w:t>When two water reallocation</w:t>
      </w:r>
      <w:r w:rsidR="001B1067">
        <w:t xml:space="preserve"> cases</w:t>
      </w:r>
      <w:r w:rsidR="00EE0472" w:rsidRPr="00E25099">
        <w:t xml:space="preserve"> have a common reallocation month, their HFE cost during th</w:t>
      </w:r>
      <w:r w:rsidR="001B1067">
        <w:t>at</w:t>
      </w:r>
      <w:r w:rsidR="00EE0472" w:rsidRPr="00E25099">
        <w:t xml:space="preserve"> month is</w:t>
      </w:r>
      <w:r>
        <w:t xml:space="preserve"> either the same or</w:t>
      </w:r>
      <w:r w:rsidR="00EE0472" w:rsidRPr="00E25099">
        <w:t xml:space="preserve"> almost identical. For </w:t>
      </w:r>
      <w:r>
        <w:t>example</w:t>
      </w:r>
      <w:r w:rsidR="00EE0472" w:rsidRPr="00E25099">
        <w:t xml:space="preserve">, </w:t>
      </w:r>
      <w:r>
        <w:t xml:space="preserve">HFE financial costs for </w:t>
      </w:r>
      <w:r w:rsidRPr="00E25099">
        <w:rPr>
          <w:b/>
        </w:rPr>
        <w:t>March</w:t>
      </w:r>
      <w:r>
        <w:t xml:space="preserve"> </w:t>
      </w:r>
      <w:r w:rsidR="004663F1">
        <w:t xml:space="preserve">are identical under Counterfactual cases 1 and 2 as shown by the </w:t>
      </w:r>
      <w:r w:rsidR="00EE0472" w:rsidRPr="00E25099">
        <w:t>blue and orange bars in Figure 5.2</w:t>
      </w:r>
      <w:r w:rsidR="004663F1">
        <w:t xml:space="preserve">. </w:t>
      </w:r>
      <w:r w:rsidR="00EE0472" w:rsidRPr="00E25099">
        <w:t xml:space="preserve"> </w:t>
      </w:r>
    </w:p>
    <w:p w:rsidR="004663F1" w:rsidRDefault="004663F1" w:rsidP="007D73F0">
      <w:pPr>
        <w:spacing w:line="240" w:lineRule="auto"/>
      </w:pPr>
    </w:p>
    <w:p w:rsidR="00422193" w:rsidRPr="00E25099" w:rsidRDefault="004663F1" w:rsidP="007D73F0">
      <w:pPr>
        <w:spacing w:line="240" w:lineRule="auto"/>
      </w:pPr>
      <w:r>
        <w:t>Also in Figure 5.2, n</w:t>
      </w:r>
      <w:r w:rsidR="00127B87" w:rsidRPr="00E25099">
        <w:t>ot</w:t>
      </w:r>
      <w:r w:rsidR="001B1067">
        <w:t xml:space="preserve">e </w:t>
      </w:r>
      <w:r w:rsidR="00127B87" w:rsidRPr="00E25099">
        <w:t>that</w:t>
      </w:r>
      <w:r>
        <w:t xml:space="preserve"> the financial</w:t>
      </w:r>
      <w:r w:rsidR="00127B87" w:rsidRPr="00E25099">
        <w:t xml:space="preserve"> costs are lower when HFE water is reallocated </w:t>
      </w:r>
      <w:r>
        <w:t xml:space="preserve">from </w:t>
      </w:r>
      <w:r w:rsidR="007F61BC" w:rsidRPr="00E25099">
        <w:t>later</w:t>
      </w:r>
      <w:r>
        <w:t xml:space="preserve"> months</w:t>
      </w:r>
      <w:r w:rsidR="00127B87" w:rsidRPr="00E25099">
        <w:t>.</w:t>
      </w:r>
      <w:r>
        <w:t xml:space="preserve"> Note that the height of all bars for months with reallocated water steadily decrease from March through May.</w:t>
      </w:r>
      <w:r w:rsidR="001B62FC">
        <w:t xml:space="preserve"> </w:t>
      </w:r>
      <w:r w:rsidR="007D73F0" w:rsidRPr="00E25099">
        <w:t xml:space="preserve">The essential factor explaining this difference is the </w:t>
      </w:r>
      <w:r w:rsidR="00A513B7">
        <w:t xml:space="preserve">average monthly </w:t>
      </w:r>
      <w:r w:rsidR="007D73F0" w:rsidRPr="00E25099">
        <w:t>purchase price</w:t>
      </w:r>
      <w:r w:rsidR="009426AF">
        <w:t>, as shown by the blue line in Figure 5.2, decreases over time</w:t>
      </w:r>
      <w:r w:rsidR="007D73F0" w:rsidRPr="00E25099">
        <w:t xml:space="preserve">. </w:t>
      </w:r>
      <w:r w:rsidR="009426AF">
        <w:t>U</w:t>
      </w:r>
      <w:r w:rsidR="001B62FC">
        <w:t>nder</w:t>
      </w:r>
      <w:r w:rsidR="00014E15" w:rsidRPr="00E25099">
        <w:t xml:space="preserve"> all Factual and Counterfactual cases, there were significant energy purchases</w:t>
      </w:r>
      <w:r w:rsidR="001B62FC">
        <w:t>,</w:t>
      </w:r>
      <w:r w:rsidR="00014E15" w:rsidRPr="00E25099">
        <w:t xml:space="preserve"> but almost no energy sales </w:t>
      </w:r>
      <w:r w:rsidR="001B62FC">
        <w:t>during</w:t>
      </w:r>
      <w:r w:rsidR="00014E15" w:rsidRPr="00E25099">
        <w:t xml:space="preserve"> March, April, and May. </w:t>
      </w:r>
      <w:r w:rsidR="009426AF">
        <w:t>This occurs because</w:t>
      </w:r>
      <w:r w:rsidR="001B62FC">
        <w:t xml:space="preserve"> WAPA’s hydropower energy production was less than FES energy delivery obligations</w:t>
      </w:r>
      <w:r w:rsidR="009426AF">
        <w:t xml:space="preserve"> resulting in</w:t>
      </w:r>
      <w:r w:rsidR="001B62FC">
        <w:t xml:space="preserve"> an energy short position that is covered via purchases. </w:t>
      </w:r>
      <w:r w:rsidR="00014E15" w:rsidRPr="00E25099">
        <w:t xml:space="preserve">HFE water reallocated </w:t>
      </w:r>
      <w:r w:rsidR="001B62FC">
        <w:t>from</w:t>
      </w:r>
      <w:r w:rsidR="00014E15" w:rsidRPr="00E25099">
        <w:t xml:space="preserve"> a specific month </w:t>
      </w:r>
      <w:r w:rsidR="001B62FC">
        <w:t xml:space="preserve">to November results in </w:t>
      </w:r>
      <w:r w:rsidR="004C0D66" w:rsidRPr="00E25099">
        <w:t>a</w:t>
      </w:r>
      <w:r w:rsidR="001B62FC">
        <w:t xml:space="preserve"> relatively </w:t>
      </w:r>
      <w:r w:rsidR="009426AF">
        <w:t>lower</w:t>
      </w:r>
      <w:r w:rsidR="004C0D66" w:rsidRPr="00E25099">
        <w:t xml:space="preserve"> </w:t>
      </w:r>
      <w:r w:rsidR="001B62FC">
        <w:t xml:space="preserve">Powerplant </w:t>
      </w:r>
      <w:r w:rsidR="004C0D66" w:rsidRPr="00E25099">
        <w:t xml:space="preserve">energy generation </w:t>
      </w:r>
      <w:r w:rsidR="001B62FC">
        <w:t xml:space="preserve">under </w:t>
      </w:r>
      <w:r w:rsidR="009426AF">
        <w:t>the F</w:t>
      </w:r>
      <w:r w:rsidR="001B62FC">
        <w:t xml:space="preserve">actual case </w:t>
      </w:r>
      <w:r w:rsidR="009426AF">
        <w:t>during that month</w:t>
      </w:r>
      <w:r w:rsidR="00A513B7">
        <w:t>. This leads to</w:t>
      </w:r>
      <w:r w:rsidR="009426AF">
        <w:t xml:space="preserve"> relatively higher</w:t>
      </w:r>
      <w:r w:rsidR="00014E15" w:rsidRPr="00E25099">
        <w:t xml:space="preserve"> </w:t>
      </w:r>
      <w:r w:rsidR="009426AF">
        <w:t xml:space="preserve">Factual case </w:t>
      </w:r>
      <w:r w:rsidR="004C0D66" w:rsidRPr="00E25099">
        <w:t xml:space="preserve">energy </w:t>
      </w:r>
      <w:r w:rsidR="00014E15" w:rsidRPr="00E25099">
        <w:t>purchase</w:t>
      </w:r>
      <w:r w:rsidR="00A513B7">
        <w:t>s during the month from which the HFE water was reallocated</w:t>
      </w:r>
      <w:r w:rsidR="004C0D66" w:rsidRPr="00E25099">
        <w:t xml:space="preserve">. </w:t>
      </w:r>
      <w:r w:rsidR="009426AF">
        <w:t>Because</w:t>
      </w:r>
      <w:r w:rsidR="00014E15" w:rsidRPr="00E25099">
        <w:t xml:space="preserve"> purchase</w:t>
      </w:r>
      <w:r w:rsidR="00BC7A71" w:rsidRPr="00E25099">
        <w:t xml:space="preserve"> prices were higher </w:t>
      </w:r>
      <w:r w:rsidR="00A513B7">
        <w:t>during</w:t>
      </w:r>
      <w:r w:rsidR="00BC7A71" w:rsidRPr="00E25099">
        <w:t xml:space="preserve"> March than April, and higher </w:t>
      </w:r>
      <w:r w:rsidR="00A513B7">
        <w:t>during</w:t>
      </w:r>
      <w:r w:rsidR="00BC7A71" w:rsidRPr="00E25099">
        <w:t xml:space="preserve"> April than May</w:t>
      </w:r>
      <w:r w:rsidR="00A513B7">
        <w:t>,</w:t>
      </w:r>
      <w:r w:rsidR="009426AF">
        <w:t xml:space="preserve"> HFE financial costs</w:t>
      </w:r>
      <w:r w:rsidR="00BC7A71" w:rsidRPr="00E25099">
        <w:t xml:space="preserve"> </w:t>
      </w:r>
      <w:r w:rsidR="004C0D66" w:rsidRPr="00E25099">
        <w:t xml:space="preserve">decrease </w:t>
      </w:r>
      <w:r w:rsidR="009426AF">
        <w:t>when water is reallocated from later months.</w:t>
      </w:r>
      <w:r w:rsidR="00CA3AC9" w:rsidRPr="00E25099">
        <w:t xml:space="preserve"> </w:t>
      </w:r>
    </w:p>
    <w:p w:rsidR="00422193" w:rsidRPr="00E25099" w:rsidRDefault="00422193" w:rsidP="007D73F0">
      <w:pPr>
        <w:spacing w:line="240" w:lineRule="auto"/>
      </w:pPr>
    </w:p>
    <w:p w:rsidR="00CA3AC9" w:rsidRDefault="00CA3AC9" w:rsidP="007D73F0">
      <w:pPr>
        <w:spacing w:line="240" w:lineRule="auto"/>
      </w:pPr>
      <w:r w:rsidRPr="00E25099">
        <w:t>To further demonstrate the strong link between monthly purchase price and monthly HFE costs, Figure 5.3 compares</w:t>
      </w:r>
      <w:r w:rsidR="002B7B99">
        <w:t xml:space="preserve"> average </w:t>
      </w:r>
      <w:r w:rsidRPr="00E25099">
        <w:t>March, April, and May HFE costs</w:t>
      </w:r>
      <w:r w:rsidR="005E7ADE" w:rsidRPr="00E25099">
        <w:t xml:space="preserve"> </w:t>
      </w:r>
      <w:r w:rsidR="002B7B99">
        <w:t xml:space="preserve">based on GTMax SL model runs </w:t>
      </w:r>
      <w:r w:rsidR="005E7ADE" w:rsidRPr="00E25099">
        <w:t>(blue bars)</w:t>
      </w:r>
      <w:r w:rsidR="00CC1B57">
        <w:t xml:space="preserve"> to results produced by a simple equation that uses</w:t>
      </w:r>
      <w:r w:rsidRPr="00E25099">
        <w:t xml:space="preserve"> </w:t>
      </w:r>
      <w:r w:rsidR="00CC1B57">
        <w:t xml:space="preserve">energy </w:t>
      </w:r>
      <w:r w:rsidRPr="00E25099">
        <w:t>purchase price</w:t>
      </w:r>
      <w:r w:rsidR="00CC1B57">
        <w:t>s</w:t>
      </w:r>
      <w:r w:rsidR="005E7ADE" w:rsidRPr="00E25099">
        <w:t xml:space="preserve"> (orange bars</w:t>
      </w:r>
      <w:r w:rsidR="00CC1B57">
        <w:t xml:space="preserve"> labeled “Estimated Costs”</w:t>
      </w:r>
      <w:r w:rsidR="005E7ADE" w:rsidRPr="00E25099">
        <w:t>)</w:t>
      </w:r>
      <w:r w:rsidRPr="00E25099">
        <w:t xml:space="preserve">. </w:t>
      </w:r>
      <w:r w:rsidR="00CC1B57">
        <w:t>The equation estimates HFE financial costs in a</w:t>
      </w:r>
      <w:r w:rsidR="005E7ADE" w:rsidRPr="00E25099">
        <w:t xml:space="preserve"> </w:t>
      </w:r>
      <w:r w:rsidRPr="00E25099">
        <w:t>given month as the product of</w:t>
      </w:r>
      <w:r w:rsidR="007F61BC" w:rsidRPr="00E25099">
        <w:t xml:space="preserve"> 3 terms:</w:t>
      </w:r>
      <w:r w:rsidRPr="00E25099">
        <w:t xml:space="preserve"> </w:t>
      </w:r>
    </w:p>
    <w:p w:rsidR="002B7B99" w:rsidRPr="00E25099" w:rsidRDefault="002B7B99" w:rsidP="007D73F0">
      <w:pPr>
        <w:spacing w:line="240" w:lineRule="auto"/>
      </w:pPr>
    </w:p>
    <w:p w:rsidR="00127B87" w:rsidRPr="00E25099" w:rsidRDefault="00CA3AC9" w:rsidP="00CA3AC9">
      <w:pPr>
        <w:pStyle w:val="ListParagraph"/>
        <w:numPr>
          <w:ilvl w:val="0"/>
          <w:numId w:val="39"/>
        </w:numPr>
        <w:spacing w:line="240" w:lineRule="auto"/>
      </w:pPr>
      <w:r w:rsidRPr="00E25099">
        <w:t>the average purchase price during this month</w:t>
      </w:r>
      <w:r w:rsidR="00422193" w:rsidRPr="00E25099">
        <w:t xml:space="preserve"> (the blue line in Figure 5.2)</w:t>
      </w:r>
      <w:r w:rsidRPr="00E25099">
        <w:t>,</w:t>
      </w:r>
    </w:p>
    <w:p w:rsidR="00CA3AC9" w:rsidRPr="00E25099" w:rsidRDefault="00CA3AC9" w:rsidP="00CA3AC9">
      <w:pPr>
        <w:pStyle w:val="ListParagraph"/>
        <w:numPr>
          <w:ilvl w:val="0"/>
          <w:numId w:val="39"/>
        </w:numPr>
        <w:spacing w:line="240" w:lineRule="auto"/>
      </w:pPr>
      <w:r w:rsidRPr="00E25099">
        <w:t>the volume of water reallocated, that is, 18.5 TAF,</w:t>
      </w:r>
      <w:r w:rsidR="00CC1B57">
        <w:t xml:space="preserve"> and</w:t>
      </w:r>
    </w:p>
    <w:p w:rsidR="00CC1B57" w:rsidRDefault="00CA3AC9" w:rsidP="009D2EEA">
      <w:pPr>
        <w:pStyle w:val="ListParagraph"/>
        <w:numPr>
          <w:ilvl w:val="0"/>
          <w:numId w:val="39"/>
        </w:numPr>
        <w:spacing w:line="240" w:lineRule="auto"/>
      </w:pPr>
      <w:r w:rsidRPr="00E25099">
        <w:t xml:space="preserve">the average PCF </w:t>
      </w:r>
      <w:r w:rsidR="00CC1B57">
        <w:t>of</w:t>
      </w:r>
      <w:r w:rsidRPr="00E25099">
        <w:t xml:space="preserve"> all Factual and Counterfactual cases </w:t>
      </w:r>
      <w:r w:rsidR="00CC1B57">
        <w:t>during</w:t>
      </w:r>
      <w:r w:rsidRPr="00E25099">
        <w:t xml:space="preserve"> March, April, and May</w:t>
      </w:r>
      <w:r w:rsidR="00CC1B57">
        <w:t xml:space="preserve"> which equals </w:t>
      </w:r>
      <w:r w:rsidR="00CC1B57" w:rsidRPr="002511DE">
        <w:t>0.412 MWh/AF</w:t>
      </w:r>
      <w:r w:rsidR="00CC1B57">
        <w:t>.</w:t>
      </w:r>
      <w:r w:rsidRPr="00E25099">
        <w:t xml:space="preserve"> </w:t>
      </w:r>
    </w:p>
    <w:p w:rsidR="00183847" w:rsidRPr="00E25099" w:rsidRDefault="00183847" w:rsidP="00E25099">
      <w:pPr>
        <w:pStyle w:val="ListParagraph"/>
        <w:spacing w:line="240" w:lineRule="auto"/>
      </w:pPr>
    </w:p>
    <w:p w:rsidR="009D2EEA" w:rsidRPr="00E25099" w:rsidRDefault="00B6567E" w:rsidP="009D2EEA">
      <w:pPr>
        <w:spacing w:line="240" w:lineRule="auto"/>
      </w:pPr>
      <w:r w:rsidRPr="00E25099">
        <w:t xml:space="preserve">It is clear </w:t>
      </w:r>
      <w:r w:rsidR="00CC1B57">
        <w:t xml:space="preserve">from this comparison </w:t>
      </w:r>
      <w:r w:rsidRPr="00E25099">
        <w:t xml:space="preserve">that the purchase price is the main driver of the HFE costs during </w:t>
      </w:r>
      <w:r w:rsidR="00CC1B57">
        <w:t xml:space="preserve">the </w:t>
      </w:r>
      <w:r w:rsidRPr="00E25099">
        <w:t xml:space="preserve">months </w:t>
      </w:r>
      <w:r w:rsidR="00CC1B57">
        <w:t>from which the</w:t>
      </w:r>
      <w:r w:rsidRPr="00E25099">
        <w:t xml:space="preserve"> HFE water is reallocated. However, there are still some differences between the HFE costs and estimated costs (the blue and orange bars in Figure 5.3) that can be explained by significant hourly fluctuations </w:t>
      </w:r>
      <w:r w:rsidR="00CC1B57">
        <w:t>in energy</w:t>
      </w:r>
      <w:r w:rsidRPr="00E25099">
        <w:t xml:space="preserve"> purchase price</w:t>
      </w:r>
      <w:r w:rsidR="00CC1B57">
        <w:t>s</w:t>
      </w:r>
      <w:r w:rsidRPr="00E25099">
        <w:t xml:space="preserve"> and the small fluctuations of the PCF</w:t>
      </w:r>
      <w:r w:rsidR="00CC1B57">
        <w:t xml:space="preserve"> (i.e., less than 2 percent)</w:t>
      </w:r>
      <w:r w:rsidRPr="00E25099">
        <w:t>.</w:t>
      </w:r>
    </w:p>
    <w:p w:rsidR="00422193" w:rsidRPr="00E25099" w:rsidRDefault="00422193" w:rsidP="009D2EEA">
      <w:pPr>
        <w:spacing w:line="240" w:lineRule="auto"/>
      </w:pPr>
    </w:p>
    <w:p w:rsidR="00DF6F28" w:rsidRDefault="009D2EEA" w:rsidP="009D2EEA">
      <w:pPr>
        <w:spacing w:line="240" w:lineRule="auto"/>
      </w:pPr>
      <w:r w:rsidRPr="00E25099">
        <w:t xml:space="preserve">In summary, the HFE financial costs resulted from (1) </w:t>
      </w:r>
      <w:r w:rsidR="00B6567E" w:rsidRPr="00E25099">
        <w:t>the decrease of 40 TAF in the amount of turbine release in November</w:t>
      </w:r>
      <w:r w:rsidR="00F740D2" w:rsidRPr="00E25099">
        <w:t xml:space="preserve"> despite the </w:t>
      </w:r>
      <w:r w:rsidR="007F61BC" w:rsidRPr="00E25099">
        <w:t xml:space="preserve">increase of 37 TAF in total release from the </w:t>
      </w:r>
      <w:r w:rsidR="00F740D2" w:rsidRPr="00E25099">
        <w:t>HFE</w:t>
      </w:r>
      <w:r w:rsidRPr="00E25099">
        <w:t xml:space="preserve">, (2) </w:t>
      </w:r>
      <w:r w:rsidR="00B6567E" w:rsidRPr="00E25099">
        <w:t xml:space="preserve">the decrease of 18.5 TAF of turbine release during the months </w:t>
      </w:r>
      <w:r w:rsidR="00EB779A">
        <w:t>from which</w:t>
      </w:r>
      <w:r w:rsidR="00EB779A" w:rsidRPr="00E25099">
        <w:t xml:space="preserve"> </w:t>
      </w:r>
      <w:r w:rsidR="00B6567E" w:rsidRPr="00E25099">
        <w:t>HFE water would have been reallocated</w:t>
      </w:r>
      <w:r w:rsidRPr="00E25099">
        <w:t xml:space="preserve">, </w:t>
      </w:r>
      <w:r w:rsidR="00B6567E" w:rsidRPr="00E25099">
        <w:t xml:space="preserve">and </w:t>
      </w:r>
      <w:r w:rsidRPr="00E25099">
        <w:t xml:space="preserve">(3) </w:t>
      </w:r>
      <w:r w:rsidR="00B6567E" w:rsidRPr="00E25099">
        <w:t xml:space="preserve">the purchase price during those </w:t>
      </w:r>
      <w:r w:rsidR="007F61BC" w:rsidRPr="00E25099">
        <w:t xml:space="preserve">reallocation </w:t>
      </w:r>
      <w:r w:rsidR="00B6567E" w:rsidRPr="00E25099">
        <w:t>months</w:t>
      </w:r>
      <w:r w:rsidRPr="00E25099">
        <w:t>.</w:t>
      </w:r>
    </w:p>
    <w:p w:rsidR="00EF2DD1" w:rsidRDefault="002B7B99" w:rsidP="00EF2DD1">
      <w:pPr>
        <w:rPr>
          <w:rFonts w:ascii="CG Times (W1)" w:hAnsi="CG Times (W1)"/>
        </w:rPr>
      </w:pPr>
      <w:r w:rsidRPr="00E25099">
        <w:rPr>
          <w:noProof/>
        </w:rPr>
        <mc:AlternateContent>
          <mc:Choice Requires="wps">
            <w:drawing>
              <wp:anchor distT="0" distB="0" distL="114300" distR="114300" simplePos="0" relativeHeight="251679744" behindDoc="0" locked="0" layoutInCell="1" allowOverlap="1" wp14:anchorId="036A7204" wp14:editId="08248F34">
                <wp:simplePos x="0" y="0"/>
                <wp:positionH relativeFrom="margin">
                  <wp:posOffset>328287</wp:posOffset>
                </wp:positionH>
                <wp:positionV relativeFrom="paragraph">
                  <wp:posOffset>3456964</wp:posOffset>
                </wp:positionV>
                <wp:extent cx="5049520" cy="635"/>
                <wp:effectExtent l="0" t="0" r="0" b="6350"/>
                <wp:wrapTopAndBottom/>
                <wp:docPr id="22" name="Text Box 22"/>
                <wp:cNvGraphicFramePr/>
                <a:graphic xmlns:a="http://schemas.openxmlformats.org/drawingml/2006/main">
                  <a:graphicData uri="http://schemas.microsoft.com/office/word/2010/wordprocessingShape">
                    <wps:wsp>
                      <wps:cNvSpPr txBox="1"/>
                      <wps:spPr>
                        <a:xfrm>
                          <a:off x="0" y="0"/>
                          <a:ext cx="5049520" cy="635"/>
                        </a:xfrm>
                        <a:prstGeom prst="rect">
                          <a:avLst/>
                        </a:prstGeom>
                        <a:solidFill>
                          <a:prstClr val="white"/>
                        </a:solidFill>
                        <a:ln>
                          <a:noFill/>
                        </a:ln>
                      </wps:spPr>
                      <wps:txbx>
                        <w:txbxContent>
                          <w:p w:rsidR="00E25099" w:rsidRPr="009711D7" w:rsidRDefault="00E25099" w:rsidP="00422193">
                            <w:pPr>
                              <w:pStyle w:val="Caption"/>
                              <w:jc w:val="center"/>
                            </w:pPr>
                            <w:bookmarkStart w:id="44" w:name="_Toc19196933"/>
                            <w:r>
                              <w:t xml:space="preserve">Figure </w:t>
                            </w:r>
                            <w:r w:rsidR="00CE27EE">
                              <w:rPr>
                                <w:noProof/>
                              </w:rPr>
                              <w:fldChar w:fldCharType="begin"/>
                            </w:r>
                            <w:r w:rsidR="00CE27EE">
                              <w:rPr>
                                <w:noProof/>
                              </w:rPr>
                              <w:instrText xml:space="preserve"> STYLEREF 1 \s </w:instrText>
                            </w:r>
                            <w:r w:rsidR="00CE27EE">
                              <w:rPr>
                                <w:noProof/>
                              </w:rPr>
                              <w:fldChar w:fldCharType="separate"/>
                            </w:r>
                            <w:r>
                              <w:rPr>
                                <w:noProof/>
                              </w:rPr>
                              <w:t>5</w:t>
                            </w:r>
                            <w:r w:rsidR="00CE27EE">
                              <w:rPr>
                                <w:noProof/>
                              </w:rPr>
                              <w:fldChar w:fldCharType="end"/>
                            </w:r>
                            <w:r>
                              <w:noBreakHyphen/>
                            </w:r>
                            <w:r w:rsidR="00CE27EE">
                              <w:rPr>
                                <w:noProof/>
                              </w:rPr>
                              <w:fldChar w:fldCharType="begin"/>
                            </w:r>
                            <w:r w:rsidR="00CE27EE">
                              <w:rPr>
                                <w:noProof/>
                              </w:rPr>
                              <w:instrText xml:space="preserve"> SEQ Figure \* ARABIC \s 1 </w:instrText>
                            </w:r>
                            <w:r w:rsidR="00CE27EE">
                              <w:rPr>
                                <w:noProof/>
                              </w:rPr>
                              <w:fldChar w:fldCharType="separate"/>
                            </w:r>
                            <w:r>
                              <w:rPr>
                                <w:noProof/>
                              </w:rPr>
                              <w:t>3</w:t>
                            </w:r>
                            <w:r w:rsidR="00CE27EE">
                              <w:rPr>
                                <w:noProof/>
                              </w:rPr>
                              <w:fldChar w:fldCharType="end"/>
                            </w:r>
                            <w:r>
                              <w:t xml:space="preserve"> Comparison between HFE costs and estimated costs based on purchase prices</w:t>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36A7204" id="Text Box 22" o:spid="_x0000_s1034" type="#_x0000_t202" style="position:absolute;left:0;text-align:left;margin-left:25.85pt;margin-top:272.2pt;width:397.6pt;height:.0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" stroked="f">
                <v:textbox style="mso-fit-shape-to-text:t" inset="0,0,0,0">
                  <w:txbxContent>
                    <w:p w:rsidR="00E25099" w:rsidRPr="009711D7" w:rsidRDefault="00E25099" w:rsidP="00422193">
                      <w:pPr>
                        <w:pStyle w:val="Caption"/>
                        <w:jc w:val="center"/>
                      </w:pPr>
                      <w:bookmarkStart w:id="50" w:name="_Toc19196933"/>
                      <w:r>
                        <w:t xml:space="preserve">Figure </w:t>
                      </w:r>
                      <w:fldSimple w:instr=" STYLEREF 1 \s ">
                        <w:r>
                          <w:rPr>
                            <w:noProof/>
                          </w:rPr>
                          <w:t>5</w:t>
                        </w:r>
                      </w:fldSimple>
                      <w:r>
                        <w:noBreakHyphen/>
                      </w:r>
                      <w:fldSimple w:instr=" SEQ Figure \* ARABIC \s 1 ">
                        <w:r>
                          <w:rPr>
                            <w:noProof/>
                          </w:rPr>
                          <w:t>3</w:t>
                        </w:r>
                      </w:fldSimple>
                      <w:r>
                        <w:t xml:space="preserve"> Comparison between HFE costs and estimated costs based on purchase prices</w:t>
                      </w:r>
                      <w:bookmarkEnd w:id="50"/>
                    </w:p>
                  </w:txbxContent>
                </v:textbox>
                <w10:wrap type="topAndBottom" anchorx="margin"/>
              </v:shape>
            </w:pict>
          </mc:Fallback>
        </mc:AlternateContent>
      </w:r>
      <w:r w:rsidRPr="00E25099">
        <w:rPr>
          <w:noProof/>
        </w:rPr>
        <w:drawing>
          <wp:anchor distT="0" distB="0" distL="114300" distR="114300" simplePos="0" relativeHeight="251677696" behindDoc="0" locked="0" layoutInCell="1" allowOverlap="1" wp14:anchorId="0DAE19A7" wp14:editId="2BBE4427">
            <wp:simplePos x="0" y="0"/>
            <wp:positionH relativeFrom="margin">
              <wp:posOffset>316411</wp:posOffset>
            </wp:positionH>
            <wp:positionV relativeFrom="paragraph">
              <wp:posOffset>199959</wp:posOffset>
            </wp:positionV>
            <wp:extent cx="5049520" cy="3193415"/>
            <wp:effectExtent l="0" t="0" r="0" b="698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49520" cy="3193415"/>
                    </a:xfrm>
                    <a:prstGeom prst="rect">
                      <a:avLst/>
                    </a:prstGeom>
                    <a:noFill/>
                    <a:ln>
                      <a:noFill/>
                    </a:ln>
                  </pic:spPr>
                </pic:pic>
              </a:graphicData>
            </a:graphic>
          </wp:anchor>
        </w:drawing>
      </w:r>
      <w:r w:rsidR="00733D0E">
        <w:br w:type="page"/>
      </w:r>
    </w:p>
    <w:p w:rsidR="00733D0E" w:rsidRDefault="00733D0E" w:rsidP="00733D0E">
      <w:pPr>
        <w:pStyle w:val="Heading1"/>
        <w:ind w:left="360" w:hanging="360"/>
        <w:jc w:val="left"/>
        <w:rPr>
          <w:bCs/>
        </w:rPr>
      </w:pPr>
      <w:bookmarkStart w:id="45" w:name="_Toc19196976"/>
      <w:r>
        <w:rPr>
          <w:bCs/>
        </w:rPr>
        <w:t>References</w:t>
      </w:r>
      <w:bookmarkEnd w:id="45"/>
    </w:p>
    <w:p w:rsidR="00733D0E" w:rsidRDefault="00733D0E" w:rsidP="00733D0E"/>
    <w:p w:rsidR="00242DDE" w:rsidRDefault="00242DDE" w:rsidP="00733D0E">
      <w:r>
        <w:t xml:space="preserve">Bishop, C., 2019, </w:t>
      </w:r>
      <w:r w:rsidRPr="00AA1B07">
        <w:t xml:space="preserve">personal communication from </w:t>
      </w:r>
      <w:r>
        <w:t>Bishop (Bureau of Reclamation, Salt Lake City, Utah) to Q. Ploussard and T. Veselka (Argonne National Laboratory, Lemont, Ill.), Aug.</w:t>
      </w:r>
    </w:p>
    <w:p w:rsidR="00242DDE" w:rsidRDefault="00242DDE" w:rsidP="00733D0E"/>
    <w:p w:rsidR="005024E0" w:rsidRDefault="005024E0" w:rsidP="00733D0E">
      <w:r w:rsidRPr="00AA1B07">
        <w:t>Dean, C., 201</w:t>
      </w:r>
      <w:r>
        <w:t>9</w:t>
      </w:r>
      <w:r w:rsidR="006219B4">
        <w:t>a</w:t>
      </w:r>
      <w:r w:rsidRPr="00AA1B07">
        <w:t xml:space="preserve">, personal communication from Dean (Western Area Power Administration, Montrose, Colo.) to </w:t>
      </w:r>
      <w:r>
        <w:t>T.D. Veselka</w:t>
      </w:r>
      <w:r w:rsidRPr="00AA1B07">
        <w:t xml:space="preserve"> (Argonne National Laboratory, </w:t>
      </w:r>
      <w:r>
        <w:t>Lemont</w:t>
      </w:r>
      <w:r w:rsidRPr="00AA1B07">
        <w:t xml:space="preserve">, Ill.), </w:t>
      </w:r>
      <w:r>
        <w:t>Jul</w:t>
      </w:r>
      <w:r w:rsidRPr="00AA1B07">
        <w:t>.</w:t>
      </w:r>
    </w:p>
    <w:p w:rsidR="006219B4" w:rsidRDefault="006219B4" w:rsidP="00733D0E"/>
    <w:p w:rsidR="006219B4" w:rsidRDefault="006219B4" w:rsidP="006219B4">
      <w:r w:rsidRPr="00AA1B07">
        <w:t>Dean, C., 201</w:t>
      </w:r>
      <w:r>
        <w:t>9b</w:t>
      </w:r>
      <w:r w:rsidRPr="00AA1B07">
        <w:t xml:space="preserve">, personal communication from Dean (Western Area Power Administration, Montrose, Colo.) to </w:t>
      </w:r>
      <w:r>
        <w:t>Q. Ploussard</w:t>
      </w:r>
      <w:r w:rsidRPr="00AA1B07">
        <w:t xml:space="preserve"> (Argonne National Laboratory, </w:t>
      </w:r>
      <w:r>
        <w:t>Lemont</w:t>
      </w:r>
      <w:r w:rsidRPr="00AA1B07">
        <w:t xml:space="preserve">, Ill.), </w:t>
      </w:r>
      <w:r>
        <w:t>Sep</w:t>
      </w:r>
      <w:r w:rsidRPr="00AA1B07">
        <w:t>.</w:t>
      </w:r>
    </w:p>
    <w:p w:rsidR="005024E0" w:rsidRDefault="005024E0" w:rsidP="00733D0E"/>
    <w:p w:rsidR="00733D0E" w:rsidRDefault="00733D0E" w:rsidP="00733D0E">
      <w:r>
        <w:t>Graziano, D.J., L.A. Poch, T.D. Veselka</w:t>
      </w:r>
      <w:r w:rsidRPr="00241C33">
        <w:t>, C.S. Palme</w:t>
      </w:r>
      <w:r>
        <w:t>r, S. Loftin, and B. Osiek, 2014</w:t>
      </w:r>
      <w:r w:rsidRPr="00241C33">
        <w:t>,</w:t>
      </w:r>
      <w:r>
        <w:t xml:space="preserve"> </w:t>
      </w:r>
      <w:r w:rsidRPr="00241C33">
        <w:rPr>
          <w:i/>
        </w:rPr>
        <w:t xml:space="preserve">Financial Analysis of Experimental Releases Conducted at Glen Canyon Dam during Water </w:t>
      </w:r>
      <w:r>
        <w:rPr>
          <w:i/>
        </w:rPr>
        <w:t>Year 2013,</w:t>
      </w:r>
      <w:r>
        <w:t xml:space="preserve"> ANL/DIS-14/9</w:t>
      </w:r>
      <w:r w:rsidRPr="00725150">
        <w:t>,</w:t>
      </w:r>
      <w:r>
        <w:t xml:space="preserve"> Argonne National Laboratory, Lemont, Ill., June.</w:t>
      </w:r>
    </w:p>
    <w:p w:rsidR="00733D0E" w:rsidRDefault="00733D0E" w:rsidP="00733D0E"/>
    <w:p w:rsidR="00733D0E" w:rsidRDefault="00733D0E" w:rsidP="00733D0E">
      <w:r>
        <w:t>Graziano, D.J., L.A. Poch, T.D. Veselka</w:t>
      </w:r>
      <w:r w:rsidRPr="00241C33">
        <w:t>, C.S. Palme</w:t>
      </w:r>
      <w:r>
        <w:t>r, S. Loftin, and B. Osiek, 2015</w:t>
      </w:r>
      <w:r w:rsidRPr="00241C33">
        <w:t>,</w:t>
      </w:r>
      <w:r>
        <w:t xml:space="preserve"> </w:t>
      </w:r>
      <w:r w:rsidRPr="00241C33">
        <w:rPr>
          <w:i/>
        </w:rPr>
        <w:t xml:space="preserve">Financial Analysis of Experimental Releases Conducted at Glen Canyon Dam during Water </w:t>
      </w:r>
      <w:r>
        <w:rPr>
          <w:i/>
        </w:rPr>
        <w:t>Year 2014,</w:t>
      </w:r>
      <w:r>
        <w:t xml:space="preserve"> ANL-15/10</w:t>
      </w:r>
      <w:r w:rsidRPr="00725150">
        <w:t>,</w:t>
      </w:r>
      <w:r>
        <w:t xml:space="preserve"> Argonne National Laboratory, Lemont, Ill., Sept.</w:t>
      </w:r>
    </w:p>
    <w:p w:rsidR="00733D0E" w:rsidRDefault="00733D0E" w:rsidP="00733D0E"/>
    <w:p w:rsidR="00733D0E" w:rsidRDefault="00733D0E" w:rsidP="00733D0E">
      <w:r>
        <w:t>Graziano, D.J., L.A. Poch, T.D. Veselka</w:t>
      </w:r>
      <w:r w:rsidRPr="00241C33">
        <w:t>, C.S. Palme</w:t>
      </w:r>
      <w:r>
        <w:t>r, S. Loftin, and B. Osiek, 2016</w:t>
      </w:r>
      <w:r w:rsidRPr="00241C33">
        <w:t>,</w:t>
      </w:r>
      <w:r>
        <w:t xml:space="preserve"> </w:t>
      </w:r>
      <w:r w:rsidRPr="00241C33">
        <w:rPr>
          <w:i/>
        </w:rPr>
        <w:t xml:space="preserve">Financial Analysis of Experimental Releases Conducted at Glen Canyon Dam during Water </w:t>
      </w:r>
      <w:r>
        <w:rPr>
          <w:i/>
        </w:rPr>
        <w:t>Year 2015,</w:t>
      </w:r>
      <w:r>
        <w:t xml:space="preserve"> ANL-16/22</w:t>
      </w:r>
      <w:r w:rsidRPr="00725150">
        <w:t>,</w:t>
      </w:r>
      <w:r>
        <w:t xml:space="preserve"> Argonne National Laboratory, Lemont, Ill., Nov.</w:t>
      </w:r>
    </w:p>
    <w:p w:rsidR="00733D0E" w:rsidRDefault="00733D0E" w:rsidP="00733D0E"/>
    <w:p w:rsidR="00242DDE" w:rsidRDefault="00242DDE" w:rsidP="00733D0E">
      <w:r>
        <w:t xml:space="preserve">Iseman, T., 2016, </w:t>
      </w:r>
      <w:r w:rsidRPr="00ED0955">
        <w:rPr>
          <w:i/>
        </w:rPr>
        <w:t>Approval of Recomm</w:t>
      </w:r>
      <w:r>
        <w:rPr>
          <w:i/>
        </w:rPr>
        <w:t>e</w:t>
      </w:r>
      <w:r w:rsidRPr="00ED0955">
        <w:rPr>
          <w:i/>
        </w:rPr>
        <w:t>ndation for Experimental High-Flow release from Glen Canyon Dam, November 7</w:t>
      </w:r>
      <w:r>
        <w:rPr>
          <w:i/>
        </w:rPr>
        <w:t>–</w:t>
      </w:r>
      <w:r w:rsidRPr="00ED0955">
        <w:rPr>
          <w:i/>
        </w:rPr>
        <w:t>12, 2016</w:t>
      </w:r>
      <w:r>
        <w:t xml:space="preserve">, U. S. Department of the Interior, Washington, D.C., Oct. Available at </w:t>
      </w:r>
      <w:r w:rsidRPr="00063E7D">
        <w:t>http://gcdamp.com/images_gcdamp_com/3/35/HFE_Leadership_Memo_16oct26.pdf</w:t>
      </w:r>
      <w:r>
        <w:t>. Accessed Aug. 1, 2019.</w:t>
      </w:r>
    </w:p>
    <w:p w:rsidR="00242DDE" w:rsidRDefault="00242DDE" w:rsidP="00733D0E"/>
    <w:p w:rsidR="00242DDE" w:rsidRDefault="00242DDE" w:rsidP="00733D0E">
      <w:r>
        <w:t>Palmer, C., 2010, personal communication from Palmer (Western Area Power Administration, Colorado River Storage Project Center, Salt Lake City, Utah) to T. Veselka</w:t>
      </w:r>
      <w:r w:rsidRPr="00D61378">
        <w:t xml:space="preserve"> </w:t>
      </w:r>
      <w:r>
        <w:t>(Argonne National Laboratory, Lemont, Ill.), Jan.</w:t>
      </w:r>
    </w:p>
    <w:p w:rsidR="00242DDE" w:rsidRDefault="00242DDE" w:rsidP="00733D0E"/>
    <w:p w:rsidR="000C15D1" w:rsidRDefault="000C15D1" w:rsidP="00733D0E">
      <w:r>
        <w:t>Patno</w:t>
      </w:r>
      <w:r w:rsidRPr="00557640">
        <w:t xml:space="preserve">, </w:t>
      </w:r>
      <w:r>
        <w:t>H</w:t>
      </w:r>
      <w:r w:rsidRPr="00557640">
        <w:t>., 201</w:t>
      </w:r>
      <w:r>
        <w:t>9</w:t>
      </w:r>
      <w:r w:rsidRPr="00557640">
        <w:t xml:space="preserve">, personal communication </w:t>
      </w:r>
      <w:r>
        <w:t xml:space="preserve">from Patno (Bureau of Reclamation, Salt Lake City, Utah) </w:t>
      </w:r>
      <w:r w:rsidRPr="00557640">
        <w:t xml:space="preserve">to </w:t>
      </w:r>
      <w:r>
        <w:t>Q. Ploussard and T.D. Veselka</w:t>
      </w:r>
      <w:r w:rsidRPr="00557640">
        <w:t xml:space="preserve"> </w:t>
      </w:r>
      <w:r>
        <w:t>(Argonne National Laboratory, Lemont, Ill.), Jul.</w:t>
      </w:r>
    </w:p>
    <w:p w:rsidR="000C15D1" w:rsidRDefault="000C15D1" w:rsidP="00733D0E"/>
    <w:p w:rsidR="00733D0E" w:rsidRDefault="00733D0E" w:rsidP="00733D0E">
      <w:r>
        <w:t>Ploussard, Q., T.D. Veselka, 2019</w:t>
      </w:r>
      <w:r w:rsidR="00CE0245">
        <w:t>a</w:t>
      </w:r>
      <w:r>
        <w:t xml:space="preserve">, </w:t>
      </w:r>
      <w:r w:rsidRPr="00733D0E">
        <w:rPr>
          <w:i/>
        </w:rPr>
        <w:t>Financial Analysis of Experimental Releases Conducted at Glen Canyon Dam during Water Year 2017</w:t>
      </w:r>
      <w:r>
        <w:rPr>
          <w:i/>
        </w:rPr>
        <w:t xml:space="preserve">, </w:t>
      </w:r>
      <w:r w:rsidRPr="00733D0E">
        <w:t>ANL-19/18</w:t>
      </w:r>
      <w:r>
        <w:t>, Argonne National Laboratory, Lemont, Ill., Apr.</w:t>
      </w:r>
    </w:p>
    <w:p w:rsidR="00733D0E" w:rsidRDefault="00733D0E" w:rsidP="00733D0E"/>
    <w:p w:rsidR="00733D0E" w:rsidRDefault="00733D0E" w:rsidP="00733D0E">
      <w:r>
        <w:t>Ploussard, Q., T.D. Veselka, 2019</w:t>
      </w:r>
      <w:r w:rsidR="00CE0245">
        <w:t>b</w:t>
      </w:r>
      <w:r>
        <w:t xml:space="preserve">, </w:t>
      </w:r>
      <w:r w:rsidRPr="00733D0E">
        <w:rPr>
          <w:i/>
        </w:rPr>
        <w:t>Financial Analysis of the 2018 Glen Canyon Dam Bug Flow Experiment</w:t>
      </w:r>
      <w:r>
        <w:rPr>
          <w:i/>
        </w:rPr>
        <w:t xml:space="preserve">, </w:t>
      </w:r>
      <w:r w:rsidRPr="00733D0E">
        <w:t>ANL-19/1</w:t>
      </w:r>
      <w:r>
        <w:t>9, Argonne National Laboratory, Lemont, Ill., Apr.</w:t>
      </w:r>
    </w:p>
    <w:p w:rsidR="00733D0E" w:rsidRDefault="00733D0E" w:rsidP="00733D0E"/>
    <w:p w:rsidR="00733D0E" w:rsidRDefault="00733D0E" w:rsidP="00733D0E">
      <w:r>
        <w:t>Poch, L.A., T.D. Veselka</w:t>
      </w:r>
      <w:r w:rsidRPr="00241C33">
        <w:t>, C.S. Palme</w:t>
      </w:r>
      <w:r>
        <w:t>r, S. Loftin, and B. Osiek, 2011</w:t>
      </w:r>
      <w:r w:rsidRPr="00241C33">
        <w:t>,</w:t>
      </w:r>
      <w:r>
        <w:t xml:space="preserve"> </w:t>
      </w:r>
      <w:r w:rsidRPr="00241C33">
        <w:rPr>
          <w:i/>
        </w:rPr>
        <w:t xml:space="preserve">Financial Analysis of Experimental Releases Conducted at Glen Canyon Dam during Water Years </w:t>
      </w:r>
      <w:r>
        <w:rPr>
          <w:i/>
        </w:rPr>
        <w:t>2006</w:t>
      </w:r>
      <w:r w:rsidRPr="00241C33">
        <w:rPr>
          <w:i/>
        </w:rPr>
        <w:t xml:space="preserve"> through 20</w:t>
      </w:r>
      <w:r>
        <w:rPr>
          <w:i/>
        </w:rPr>
        <w:t>10</w:t>
      </w:r>
      <w:r>
        <w:t>, ANL/DIS-11-4, Argonne National Laboratory, Lemont, Ill., Aug.</w:t>
      </w:r>
    </w:p>
    <w:p w:rsidR="00733D0E" w:rsidRDefault="00733D0E" w:rsidP="00733D0E"/>
    <w:p w:rsidR="00733D0E" w:rsidRDefault="00733D0E" w:rsidP="00733D0E">
      <w:r>
        <w:t>Poch, L.A., T.D. Veselka</w:t>
      </w:r>
      <w:r w:rsidRPr="00241C33">
        <w:t>, C.S. Palme</w:t>
      </w:r>
      <w:r>
        <w:t>r, S. Loftin, and B. Osiek, 2012</w:t>
      </w:r>
      <w:r w:rsidRPr="00241C33">
        <w:t>,</w:t>
      </w:r>
      <w:r>
        <w:t xml:space="preserve"> </w:t>
      </w:r>
      <w:r w:rsidRPr="00241C33">
        <w:rPr>
          <w:i/>
        </w:rPr>
        <w:t xml:space="preserve">Financial Analysis of Experimental Releases Conducted at Glen Canyon Dam during Water </w:t>
      </w:r>
      <w:r>
        <w:rPr>
          <w:i/>
        </w:rPr>
        <w:t>Year 2011</w:t>
      </w:r>
      <w:r>
        <w:t>, ANL/DIS</w:t>
      </w:r>
      <w:r>
        <w:noBreakHyphen/>
        <w:t>12</w:t>
      </w:r>
      <w:r>
        <w:noBreakHyphen/>
      </w:r>
      <w:r w:rsidRPr="00725150">
        <w:t>4,</w:t>
      </w:r>
      <w:r>
        <w:t xml:space="preserve"> Argonne National Laboratory, Lemont, Ill., Jun.</w:t>
      </w:r>
    </w:p>
    <w:p w:rsidR="00733D0E" w:rsidRDefault="00733D0E" w:rsidP="00733D0E"/>
    <w:p w:rsidR="00733D0E" w:rsidRDefault="00733D0E" w:rsidP="00733D0E">
      <w:r>
        <w:t>Poch, L.A., D.J. Graziano, T.D. Veselka</w:t>
      </w:r>
      <w:r w:rsidRPr="00241C33">
        <w:t>, C.S. Palme</w:t>
      </w:r>
      <w:r>
        <w:t>r, S. Loftin, and B. Osiek, 2013</w:t>
      </w:r>
      <w:r w:rsidRPr="00241C33">
        <w:t>,</w:t>
      </w:r>
      <w:r>
        <w:t xml:space="preserve"> </w:t>
      </w:r>
      <w:r w:rsidRPr="00241C33">
        <w:rPr>
          <w:i/>
        </w:rPr>
        <w:t xml:space="preserve">Financial Analysis of Experimental Releases Conducted at Glen Canyon Dam during Water </w:t>
      </w:r>
      <w:r>
        <w:rPr>
          <w:i/>
        </w:rPr>
        <w:t>Year 2012</w:t>
      </w:r>
      <w:r>
        <w:t>, ANL/DIS-13</w:t>
      </w:r>
      <w:r w:rsidRPr="00725150">
        <w:t>-</w:t>
      </w:r>
      <w:r>
        <w:t>2</w:t>
      </w:r>
      <w:r w:rsidRPr="00725150">
        <w:t>,</w:t>
      </w:r>
      <w:r>
        <w:t xml:space="preserve"> Argonne National Laboratory, Lemont, Ill., Apr.</w:t>
      </w:r>
    </w:p>
    <w:p w:rsidR="00733D0E" w:rsidRDefault="00733D0E" w:rsidP="00733D0E"/>
    <w:p w:rsidR="00FD65A2" w:rsidRDefault="00FD65A2" w:rsidP="00733D0E">
      <w:r w:rsidRPr="00557640">
        <w:t>Reclamation</w:t>
      </w:r>
      <w:r>
        <w:t xml:space="preserve"> (Bureau of Reclamation),</w:t>
      </w:r>
      <w:r w:rsidRPr="00557640">
        <w:t xml:space="preserve"> undated</w:t>
      </w:r>
      <w:r w:rsidRPr="00557640">
        <w:rPr>
          <w:i/>
        </w:rPr>
        <w:t>, Monthly Report of Power Operations – Powerplants</w:t>
      </w:r>
      <w:r w:rsidRPr="00557640">
        <w:t>, Form PO&amp;M-59, U.S. Department of the Interior.</w:t>
      </w:r>
    </w:p>
    <w:p w:rsidR="00FD65A2" w:rsidRDefault="00FD65A2" w:rsidP="00733D0E"/>
    <w:p w:rsidR="004D5CD1" w:rsidRDefault="004D5CD1" w:rsidP="00733D0E">
      <w:r>
        <w:t xml:space="preserve">Reclamation, 1996, </w:t>
      </w:r>
      <w:r>
        <w:rPr>
          <w:i/>
        </w:rPr>
        <w:t>Record of Decision: Operation of Glen Canyon Dam Final Environmental Impact Statement, Appendix G</w:t>
      </w:r>
      <w:r>
        <w:t xml:space="preserve">, U.S. Department of the Interior, Oct. Available at </w:t>
      </w:r>
      <w:r w:rsidRPr="004D5CD1">
        <w:t>https://azmemory.azlibrary.gov/digital/collection/p17220coll7/id/781/</w:t>
      </w:r>
      <w:r>
        <w:t>. Accessed Aug. 1, 2019.</w:t>
      </w:r>
    </w:p>
    <w:p w:rsidR="00805191" w:rsidRDefault="00805191" w:rsidP="00733D0E"/>
    <w:p w:rsidR="00BB38D3" w:rsidRDefault="00BB38D3" w:rsidP="00733D0E">
      <w:r>
        <w:t xml:space="preserve">Reclamation, 2006, </w:t>
      </w:r>
      <w:r w:rsidRPr="00A07B05">
        <w:rPr>
          <w:i/>
        </w:rPr>
        <w:t xml:space="preserve">Record of Decision </w:t>
      </w:r>
      <w:r>
        <w:rPr>
          <w:i/>
        </w:rPr>
        <w:t xml:space="preserve">Operation of Flaming Gorge Dam </w:t>
      </w:r>
      <w:r w:rsidRPr="00A07B05">
        <w:rPr>
          <w:i/>
        </w:rPr>
        <w:t>Final Environmental Impact Statement</w:t>
      </w:r>
      <w:r>
        <w:t xml:space="preserve">, U.S. Department of the Interior, Feb. Available at </w:t>
      </w:r>
      <w:r w:rsidRPr="001E0344">
        <w:t>http://www.usbr.gov/uc/envdocs/</w:t>
      </w:r>
      <w:r>
        <w:br/>
      </w:r>
      <w:r w:rsidRPr="001E0344">
        <w:t>rod/fgFEIS/final-ROD-15feb06.pdf</w:t>
      </w:r>
      <w:r>
        <w:t>. Accessed Aug. 1, 2019.</w:t>
      </w:r>
    </w:p>
    <w:p w:rsidR="00BB38D3" w:rsidRDefault="00BB38D3" w:rsidP="00733D0E"/>
    <w:p w:rsidR="00805191" w:rsidRDefault="00805191" w:rsidP="00733D0E">
      <w:r>
        <w:t xml:space="preserve">Reclamation, 2008, </w:t>
      </w:r>
      <w:r>
        <w:rPr>
          <w:i/>
        </w:rPr>
        <w:t>The Law of the River</w:t>
      </w:r>
      <w:r>
        <w:t>, U.S. Department of the Interior, Lower Colorado Region. Available at http://www.usbr.gov/lc/region/g1000/lawofrvr.html. Accessed Aug. 1, 2019.</w:t>
      </w:r>
    </w:p>
    <w:p w:rsidR="00805191" w:rsidRDefault="00805191" w:rsidP="00733D0E"/>
    <w:p w:rsidR="00242DDE" w:rsidRDefault="00242DDE" w:rsidP="00733D0E">
      <w:r>
        <w:t xml:space="preserve">Reclamation, 2011, </w:t>
      </w:r>
      <w:r w:rsidRPr="0077184E">
        <w:rPr>
          <w:i/>
        </w:rPr>
        <w:t>Environmental Assessment</w:t>
      </w:r>
      <w:r>
        <w:rPr>
          <w:i/>
        </w:rPr>
        <w:t>:</w:t>
      </w:r>
      <w:r w:rsidRPr="0077184E">
        <w:rPr>
          <w:i/>
        </w:rPr>
        <w:t xml:space="preserve"> Development and Implementation of a Protocol </w:t>
      </w:r>
      <w:r>
        <w:rPr>
          <w:i/>
        </w:rPr>
        <w:br/>
      </w:r>
      <w:r w:rsidRPr="0077184E">
        <w:rPr>
          <w:i/>
        </w:rPr>
        <w:t>for High-flow Experimental Releases from Glen Canyon Dam, Arizona, 2011–2020</w:t>
      </w:r>
      <w:r>
        <w:t>,</w:t>
      </w:r>
      <w:r w:rsidRPr="001A55F4">
        <w:t xml:space="preserve"> </w:t>
      </w:r>
      <w:r>
        <w:t>U.S. Department of the Interior, Bureau of Reclamation, Upper Colorado Region, Salt Lake City, Utah, Dec. 30.</w:t>
      </w:r>
    </w:p>
    <w:p w:rsidR="00242DDE" w:rsidRDefault="00242DDE" w:rsidP="00733D0E"/>
    <w:p w:rsidR="00BB38D3" w:rsidRDefault="00BB38D3" w:rsidP="00733D0E">
      <w:r>
        <w:t xml:space="preserve">Reclamation, 2012, </w:t>
      </w:r>
      <w:r w:rsidRPr="00A07B05">
        <w:rPr>
          <w:i/>
        </w:rPr>
        <w:t>Record of Decision for the Aspinall Unit Operations Final Environmental Impact Statement</w:t>
      </w:r>
      <w:r>
        <w:t xml:space="preserve">, U.S. Department of the Interior, Apr. Available at </w:t>
      </w:r>
      <w:r w:rsidRPr="00A07B05">
        <w:t>http://www.usbr.gov/uc/envdocs/eis/</w:t>
      </w:r>
      <w:r>
        <w:br/>
      </w:r>
      <w:r w:rsidRPr="00A07B05">
        <w:t>AspinallEIS/ROD.pdf</w:t>
      </w:r>
      <w:r>
        <w:t>. Accessed Aug. 1, 2019.</w:t>
      </w:r>
    </w:p>
    <w:p w:rsidR="00BB38D3" w:rsidRDefault="00BB38D3" w:rsidP="00733D0E"/>
    <w:p w:rsidR="00805191" w:rsidRDefault="00805191" w:rsidP="00733D0E">
      <w:r>
        <w:t xml:space="preserve">Reclamation, 2013, </w:t>
      </w:r>
      <w:r w:rsidRPr="001E0344">
        <w:rPr>
          <w:i/>
        </w:rPr>
        <w:t>Annual Operating Plan for Colorado River Reservoirs 2014</w:t>
      </w:r>
      <w:r>
        <w:t xml:space="preserve">, U.S. Department of the Interior, Dec. Available at </w:t>
      </w:r>
      <w:r w:rsidRPr="00A07B05">
        <w:t>http://www.usbr.gov/lc/region/g4000/aop/AOP14.pdf</w:t>
      </w:r>
      <w:r>
        <w:t>. Accessed Aug. 1, 2019.</w:t>
      </w:r>
    </w:p>
    <w:p w:rsidR="00805191" w:rsidRDefault="00805191" w:rsidP="00733D0E"/>
    <w:p w:rsidR="00805191" w:rsidRDefault="00805191" w:rsidP="00733D0E">
      <w:r>
        <w:t xml:space="preserve">Reclamation, 2016, </w:t>
      </w:r>
      <w:r w:rsidRPr="00ED512B">
        <w:rPr>
          <w:i/>
        </w:rPr>
        <w:t>Record of Decision for the Glen Canyon Dam Long-Term Experimental and Management Plan Final Environmental Impact Statement</w:t>
      </w:r>
      <w:r>
        <w:t xml:space="preserve">, </w:t>
      </w:r>
      <w:r w:rsidRPr="004879F4">
        <w:t>U.S. Department of the Interior</w:t>
      </w:r>
      <w:r>
        <w:t xml:space="preserve">. Available at </w:t>
      </w:r>
      <w:r w:rsidRPr="004879F4">
        <w:t>http://ltempeis.anl.gov/documents/docs/LTEMP_ROD.pdf</w:t>
      </w:r>
      <w:r>
        <w:t>.  Accessed Aug. 1, 2019.</w:t>
      </w:r>
    </w:p>
    <w:p w:rsidR="004D5CD1" w:rsidRDefault="004D5CD1" w:rsidP="00733D0E"/>
    <w:p w:rsidR="00FD65A2" w:rsidRDefault="00FD65A2" w:rsidP="00733D0E">
      <w:r>
        <w:t xml:space="preserve">Reclamation, 2019, </w:t>
      </w:r>
      <w:r w:rsidRPr="00FD65A2">
        <w:rPr>
          <w:i/>
        </w:rPr>
        <w:t>Water Operations: Historic data,</w:t>
      </w:r>
      <w:r>
        <w:t xml:space="preserve"> </w:t>
      </w:r>
      <w:r w:rsidRPr="004879F4">
        <w:t>U.S. Department of the Interior</w:t>
      </w:r>
      <w:r>
        <w:t xml:space="preserve">. Available at </w:t>
      </w:r>
      <w:r w:rsidRPr="00FD65A2">
        <w:t>https://www.usbr.gov/rsvrWater/HistoricalApp.html</w:t>
      </w:r>
      <w:r>
        <w:t>. Accessed Aug. 1, 2019.</w:t>
      </w:r>
    </w:p>
    <w:p w:rsidR="00FD65A2" w:rsidRDefault="00FD65A2" w:rsidP="00733D0E"/>
    <w:p w:rsidR="00733D0E" w:rsidRPr="00733D0E" w:rsidRDefault="00733D0E" w:rsidP="00733D0E">
      <w:r w:rsidRPr="00733D0E">
        <w:t xml:space="preserve">Veselka, T.D., L.A. Poch, C.S. Palmer, S. Loftin, and B. Osiek, 2011, </w:t>
      </w:r>
      <w:r w:rsidRPr="00733D0E">
        <w:rPr>
          <w:i/>
        </w:rPr>
        <w:t>Revised Financial Analysis of Experimental Releases Conducted at Glen Canyon Dam during Water Years 1997 through 2005</w:t>
      </w:r>
      <w:r w:rsidRPr="00733D0E">
        <w:t>, ANL/DIS-11-1, Argonne National Laboratory, Lemont, Ill., Jan.</w:t>
      </w:r>
    </w:p>
    <w:p w:rsidR="00733D0E" w:rsidRPr="00733D0E" w:rsidRDefault="00733D0E" w:rsidP="00733D0E"/>
    <w:p w:rsidR="00DF6F28" w:rsidRDefault="004D5CD1" w:rsidP="009D2EEA">
      <w:pPr>
        <w:spacing w:line="240" w:lineRule="auto"/>
      </w:pPr>
      <w:r>
        <w:t>WAPA (</w:t>
      </w:r>
      <w:r w:rsidRPr="000F1AD4">
        <w:t>Western Area Power Administration</w:t>
      </w:r>
      <w:r>
        <w:t xml:space="preserve">), 2010, </w:t>
      </w:r>
      <w:r>
        <w:rPr>
          <w:i/>
        </w:rPr>
        <w:t>Operations of Glen Canyon Dam under the ROD</w:t>
      </w:r>
      <w:r>
        <w:t xml:space="preserve">, CRSP Management Center. Available at </w:t>
      </w:r>
      <w:r w:rsidRPr="004D5CD1">
        <w:t>https://www.wapa.gov/regions/CRSP/PlanProject/Pages/glen-canyon-operations.aspx</w:t>
      </w:r>
      <w:r>
        <w:t>. Accessed Aug. 1, 2019.</w:t>
      </w:r>
    </w:p>
    <w:p w:rsidR="008C76A9" w:rsidRDefault="008C76A9" w:rsidP="009D2EEA">
      <w:pPr>
        <w:spacing w:line="240" w:lineRule="auto"/>
      </w:pPr>
    </w:p>
    <w:p w:rsidR="008C76A9" w:rsidRDefault="008C76A9" w:rsidP="008C76A9">
      <w:r>
        <w:t xml:space="preserve">WAPA, 2019, </w:t>
      </w:r>
      <w:r w:rsidRPr="0042668B">
        <w:rPr>
          <w:i/>
        </w:rPr>
        <w:t>Historical Power Plant Data</w:t>
      </w:r>
      <w:r>
        <w:rPr>
          <w:i/>
        </w:rPr>
        <w:t>.</w:t>
      </w:r>
      <w:r>
        <w:t xml:space="preserve"> Available at </w:t>
      </w:r>
      <w:r w:rsidRPr="0042668B">
        <w:t>https://www.wapa.gov/regions/CRSP/OpsMaint/Pages/Scada.aspx</w:t>
      </w:r>
      <w:r>
        <w:t>. Accessed Aug. 1, 2019.</w:t>
      </w:r>
    </w:p>
    <w:p w:rsidR="008C76A9" w:rsidRDefault="008C76A9" w:rsidP="009D2EEA">
      <w:pPr>
        <w:spacing w:line="240" w:lineRule="auto"/>
      </w:pPr>
    </w:p>
    <w:p w:rsidR="00EF2DD1" w:rsidRDefault="00EF2DD1">
      <w:pPr>
        <w:spacing w:line="240" w:lineRule="auto"/>
        <w:jc w:val="left"/>
      </w:pPr>
      <w:r>
        <w:br w:type="page"/>
      </w: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rPr>
          <w:rFonts w:ascii="CG Times (W1)" w:hAnsi="CG Times (W1)"/>
        </w:rPr>
      </w:pPr>
    </w:p>
    <w:p w:rsidR="00EF2DD1" w:rsidRDefault="00EF2DD1" w:rsidP="00EF2DD1">
      <w:pPr>
        <w:spacing w:line="240" w:lineRule="auto"/>
        <w:jc w:val="center"/>
      </w:pPr>
      <w:r w:rsidRPr="00115610">
        <w:t>This page intentionally left blank.</w:t>
      </w:r>
      <w:r>
        <w:br w:type="page"/>
      </w:r>
    </w:p>
    <w:p w:rsidR="00321D9C" w:rsidRDefault="00321D9C" w:rsidP="005024E0">
      <w:pPr>
        <w:jc w:val="center"/>
        <w:sectPr w:rsidR="00321D9C" w:rsidSect="00EA7E22">
          <w:footerReference w:type="default" r:id="rId37"/>
          <w:pgSz w:w="12240" w:h="15840" w:code="1"/>
          <w:pgMar w:top="1440" w:right="1440" w:bottom="1080" w:left="1440" w:header="720" w:footer="720" w:gutter="0"/>
          <w:pgNumType w:start="1"/>
          <w:cols w:space="720"/>
          <w:docGrid w:linePitch="360"/>
        </w:sectPr>
      </w:pPr>
    </w:p>
    <w:p w:rsidR="00C43523" w:rsidRDefault="00C43523" w:rsidP="00C43523">
      <w:pPr>
        <w:pStyle w:val="Heading1"/>
        <w:numPr>
          <w:ilvl w:val="0"/>
          <w:numId w:val="0"/>
        </w:numPr>
        <w:jc w:val="left"/>
        <w:rPr>
          <w:bCs/>
        </w:rPr>
      </w:pPr>
      <w:bookmarkStart w:id="46" w:name="_Toc19196977"/>
      <w:r>
        <w:rPr>
          <w:bCs/>
        </w:rPr>
        <w:t xml:space="preserve">Appendix A: </w:t>
      </w:r>
      <w:r w:rsidRPr="00C43523">
        <w:rPr>
          <w:bCs/>
        </w:rPr>
        <w:t>Comparison between Planned and Historical Water Releases</w:t>
      </w:r>
      <w:bookmarkEnd w:id="46"/>
    </w:p>
    <w:p w:rsidR="00C43523" w:rsidRDefault="00C43523" w:rsidP="00C43523"/>
    <w:p w:rsidR="002F25E7" w:rsidRDefault="004246A9" w:rsidP="00C43523">
      <w:r w:rsidRPr="00C43523">
        <w:t>Figure A.1</w:t>
      </w:r>
      <w:r>
        <w:t xml:space="preserve"> shows </w:t>
      </w:r>
      <w:r w:rsidR="00C43523" w:rsidRPr="00C43523">
        <w:t xml:space="preserve">GCD monthly water release volumes based on Reclamation </w:t>
      </w:r>
      <w:r w:rsidR="00C43523" w:rsidRPr="00C43523">
        <w:rPr>
          <w:i/>
        </w:rPr>
        <w:t>plans</w:t>
      </w:r>
      <w:r w:rsidR="00C43523" w:rsidRPr="00C43523">
        <w:t xml:space="preserve"> prior to the time the HFE was conducted</w:t>
      </w:r>
      <w:r>
        <w:t xml:space="preserve"> (blue bars). The planned releases represent th</w:t>
      </w:r>
      <w:r w:rsidRPr="00C43523">
        <w:t xml:space="preserve">e </w:t>
      </w:r>
      <w:r>
        <w:t>Factual</w:t>
      </w:r>
      <w:r w:rsidRPr="00C43523">
        <w:t xml:space="preserve"> (with HFE) </w:t>
      </w:r>
      <w:r>
        <w:t xml:space="preserve">case. </w:t>
      </w:r>
      <w:r w:rsidR="005010B4">
        <w:t>A</w:t>
      </w:r>
      <w:r>
        <w:t xml:space="preserve">ctual monthly water releases </w:t>
      </w:r>
      <w:r w:rsidR="005010B4">
        <w:t>are shown as grey bars</w:t>
      </w:r>
      <w:r>
        <w:t xml:space="preserve">. </w:t>
      </w:r>
      <w:r w:rsidR="002F25E7">
        <w:t xml:space="preserve"> </w:t>
      </w:r>
      <w:r w:rsidR="002F25E7" w:rsidRPr="00C43523">
        <w:t xml:space="preserve">The difference between the </w:t>
      </w:r>
      <w:r w:rsidR="002F25E7" w:rsidRPr="00C43523">
        <w:rPr>
          <w:i/>
        </w:rPr>
        <w:t>planned</w:t>
      </w:r>
      <w:r w:rsidR="002F25E7" w:rsidRPr="00C43523">
        <w:rPr>
          <w:b/>
        </w:rPr>
        <w:t xml:space="preserve"> </w:t>
      </w:r>
      <w:r w:rsidR="002F25E7" w:rsidRPr="00C43523">
        <w:t xml:space="preserve">and </w:t>
      </w:r>
      <w:r w:rsidR="002F25E7" w:rsidRPr="00C43523">
        <w:rPr>
          <w:i/>
        </w:rPr>
        <w:t>historical</w:t>
      </w:r>
      <w:r w:rsidR="002F25E7" w:rsidRPr="00C43523">
        <w:t xml:space="preserve"> observed water releases (blue and grey shaded bars, both with HFE releases) is primarily attributed to </w:t>
      </w:r>
      <w:r w:rsidR="005010B4">
        <w:t>Upper Colorado River Basin</w:t>
      </w:r>
      <w:r w:rsidR="002F25E7" w:rsidRPr="00C43523">
        <w:t xml:space="preserve"> water inflow forecast error.</w:t>
      </w:r>
    </w:p>
    <w:p w:rsidR="002F25E7" w:rsidRDefault="002F25E7" w:rsidP="00C43523"/>
    <w:p w:rsidR="00C43523" w:rsidRPr="00C43523" w:rsidRDefault="004246A9" w:rsidP="00C43523">
      <w:r>
        <w:t xml:space="preserve">The </w:t>
      </w:r>
      <w:r w:rsidR="00C43523">
        <w:t>Counterfactual case 1</w:t>
      </w:r>
      <w:r w:rsidR="00C43523" w:rsidRPr="00C43523">
        <w:t xml:space="preserve"> (without HFE</w:t>
      </w:r>
      <w:r w:rsidR="002F25E7">
        <w:t xml:space="preserve"> that has </w:t>
      </w:r>
      <w:r w:rsidR="00C43523">
        <w:t xml:space="preserve">water reallocated </w:t>
      </w:r>
      <w:r w:rsidR="002F25E7">
        <w:t>from</w:t>
      </w:r>
      <w:r w:rsidR="00C43523">
        <w:t xml:space="preserve"> March and April</w:t>
      </w:r>
      <w:r w:rsidR="002F25E7">
        <w:t xml:space="preserve"> to November</w:t>
      </w:r>
      <w:r w:rsidR="00C43523" w:rsidRPr="00C43523">
        <w:t xml:space="preserve">) </w:t>
      </w:r>
      <w:r w:rsidR="002F25E7">
        <w:t xml:space="preserve">is </w:t>
      </w:r>
      <w:r w:rsidR="00C43523" w:rsidRPr="00C43523">
        <w:t xml:space="preserve">shown orange bars. </w:t>
      </w:r>
      <w:r w:rsidR="004C6807">
        <w:t>For the sake of clarity, the Counterfactual cases 2 and 3 are not represented in the Figure.</w:t>
      </w:r>
      <w:r w:rsidR="00C43523" w:rsidRPr="00C43523">
        <w:t xml:space="preserve">  </w:t>
      </w:r>
    </w:p>
    <w:p w:rsidR="00C43523" w:rsidRPr="00C43523" w:rsidRDefault="005049A9" w:rsidP="00C43523">
      <w:r>
        <w:rPr>
          <w:noProof/>
        </w:rPr>
        <mc:AlternateContent>
          <mc:Choice Requires="wps">
            <w:drawing>
              <wp:anchor distT="0" distB="0" distL="114300" distR="114300" simplePos="0" relativeHeight="251682816" behindDoc="0" locked="0" layoutInCell="1" allowOverlap="1" wp14:anchorId="2C7B78E8" wp14:editId="0914A694">
                <wp:simplePos x="0" y="0"/>
                <wp:positionH relativeFrom="column">
                  <wp:posOffset>0</wp:posOffset>
                </wp:positionH>
                <wp:positionV relativeFrom="paragraph">
                  <wp:posOffset>3980180</wp:posOffset>
                </wp:positionV>
                <wp:extent cx="5943600" cy="635"/>
                <wp:effectExtent l="0" t="0" r="0" b="0"/>
                <wp:wrapTopAndBottom/>
                <wp:docPr id="24" name="Text Box 24"/>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E25099" w:rsidRPr="00FF3017" w:rsidRDefault="00E25099" w:rsidP="00A07D8C">
                            <w:pPr>
                              <w:pStyle w:val="Caption"/>
                              <w:jc w:val="center"/>
                            </w:pPr>
                            <w:bookmarkStart w:id="47" w:name="_Toc19196934"/>
                            <w:r>
                              <w:t>Figure A</w:t>
                            </w:r>
                            <w:r>
                              <w:noBreakHyphen/>
                            </w:r>
                            <w:r w:rsidR="00CE27EE">
                              <w:rPr>
                                <w:noProof/>
                              </w:rPr>
                              <w:fldChar w:fldCharType="begin"/>
                            </w:r>
                            <w:r w:rsidR="00CE27EE">
                              <w:rPr>
                                <w:noProof/>
                              </w:rPr>
                              <w:instrText xml:space="preserve"> SEQ Figure \* ARABIC \s 1 </w:instrText>
                            </w:r>
                            <w:r w:rsidR="00CE27EE">
                              <w:rPr>
                                <w:noProof/>
                              </w:rPr>
                              <w:fldChar w:fldCharType="separate"/>
                            </w:r>
                            <w:r>
                              <w:rPr>
                                <w:noProof/>
                              </w:rPr>
                              <w:t>1</w:t>
                            </w:r>
                            <w:r w:rsidR="00CE27EE">
                              <w:rPr>
                                <w:noProof/>
                              </w:rPr>
                              <w:fldChar w:fldCharType="end"/>
                            </w:r>
                            <w:r>
                              <w:t xml:space="preserve"> </w:t>
                            </w:r>
                            <w:r w:rsidRPr="004C6807">
                              <w:t xml:space="preserve">Comparison of water releases between the </w:t>
                            </w:r>
                            <w:r>
                              <w:t>Factual and a Counterfactual case</w:t>
                            </w:r>
                            <w:r w:rsidRPr="004C6807">
                              <w:t>, based on planned and historical data</w:t>
                            </w:r>
                            <w:bookmarkEnd w:id="4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C7B78E8" id="Text Box 24" o:spid="_x0000_s1035" type="#_x0000_t202" style="position:absolute;left:0;text-align:left;margin-left:0;margin-top:313.4pt;width:468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" stroked="f">
                <v:textbox style="mso-fit-shape-to-text:t" inset="0,0,0,0">
                  <w:txbxContent>
                    <w:p w:rsidR="00E25099" w:rsidRPr="00FF3017" w:rsidRDefault="00E25099" w:rsidP="00A07D8C">
                      <w:pPr>
                        <w:pStyle w:val="Caption"/>
                        <w:jc w:val="center"/>
                      </w:pPr>
                      <w:bookmarkStart w:id="54" w:name="_Toc19196934"/>
                      <w:r>
                        <w:t>Figure A</w:t>
                      </w:r>
                      <w:r>
                        <w:noBreakHyphen/>
                      </w:r>
                      <w:fldSimple w:instr=" SEQ Figure \* ARABIC \s 1 ">
                        <w:r>
                          <w:rPr>
                            <w:noProof/>
                          </w:rPr>
                          <w:t>1</w:t>
                        </w:r>
                      </w:fldSimple>
                      <w:r>
                        <w:t xml:space="preserve"> </w:t>
                      </w:r>
                      <w:r w:rsidRPr="004C6807">
                        <w:t xml:space="preserve">Comparison of water releases between the </w:t>
                      </w:r>
                      <w:r>
                        <w:t>Factual and a Counterfactual case</w:t>
                      </w:r>
                      <w:r w:rsidRPr="004C6807">
                        <w:t>, based on planned and historical data</w:t>
                      </w:r>
                      <w:bookmarkEnd w:id="54"/>
                    </w:p>
                  </w:txbxContent>
                </v:textbox>
                <w10:wrap type="topAndBottom"/>
              </v:shape>
            </w:pict>
          </mc:Fallback>
        </mc:AlternateContent>
      </w:r>
      <w:r w:rsidRPr="00922B52">
        <w:rPr>
          <w:noProof/>
        </w:rPr>
        <w:drawing>
          <wp:anchor distT="0" distB="0" distL="114300" distR="114300" simplePos="0" relativeHeight="251680768" behindDoc="0" locked="0" layoutInCell="1" allowOverlap="1" wp14:anchorId="0B9E57CB" wp14:editId="6117949E">
            <wp:simplePos x="0" y="0"/>
            <wp:positionH relativeFrom="column">
              <wp:posOffset>218</wp:posOffset>
            </wp:positionH>
            <wp:positionV relativeFrom="paragraph">
              <wp:posOffset>167640</wp:posOffset>
            </wp:positionV>
            <wp:extent cx="5943600" cy="3755528"/>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755528"/>
                    </a:xfrm>
                    <a:prstGeom prst="rect">
                      <a:avLst/>
                    </a:prstGeom>
                    <a:noFill/>
                    <a:ln>
                      <a:noFill/>
                    </a:ln>
                  </pic:spPr>
                </pic:pic>
              </a:graphicData>
            </a:graphic>
          </wp:anchor>
        </w:drawing>
      </w:r>
    </w:p>
    <w:p w:rsidR="00C43523" w:rsidRPr="00C43523" w:rsidRDefault="00C43523" w:rsidP="00C43523">
      <w:r w:rsidRPr="00C43523">
        <w:t xml:space="preserve">Instead of using </w:t>
      </w:r>
      <w:r w:rsidRPr="00C43523">
        <w:rPr>
          <w:i/>
        </w:rPr>
        <w:t>planned</w:t>
      </w:r>
      <w:r w:rsidRPr="00C43523">
        <w:t xml:space="preserve"> water releases, this Appendix shows HFE cost estimates based on actual </w:t>
      </w:r>
      <w:r w:rsidRPr="00C43523">
        <w:rPr>
          <w:i/>
        </w:rPr>
        <w:t>historical</w:t>
      </w:r>
      <w:r w:rsidRPr="00C43523">
        <w:rPr>
          <w:b/>
        </w:rPr>
        <w:t xml:space="preserve"> </w:t>
      </w:r>
      <w:r w:rsidRPr="00C43523">
        <w:t xml:space="preserve">water releases. Water release volumes </w:t>
      </w:r>
      <w:r w:rsidR="005010B4">
        <w:t>from Lake Powell that</w:t>
      </w:r>
      <w:r w:rsidR="005010B4" w:rsidRPr="00C43523">
        <w:t xml:space="preserve"> </w:t>
      </w:r>
      <w:r w:rsidRPr="00C43523">
        <w:t>actually occurred during WY 201</w:t>
      </w:r>
      <w:r>
        <w:t>9</w:t>
      </w:r>
      <w:r w:rsidRPr="00C43523">
        <w:t xml:space="preserve"> </w:t>
      </w:r>
      <w:r w:rsidR="002F25E7">
        <w:t>(</w:t>
      </w:r>
      <w:r w:rsidRPr="00C43523">
        <w:t>grey bars</w:t>
      </w:r>
      <w:r w:rsidR="002F25E7">
        <w:t>) were used to represent the Factual case and th</w:t>
      </w:r>
      <w:r w:rsidRPr="00C43523">
        <w:t xml:space="preserve">e yellow shaded bars are estimates of water releases </w:t>
      </w:r>
      <w:r w:rsidR="005010B4">
        <w:t>had</w:t>
      </w:r>
      <w:r w:rsidRPr="00C43523">
        <w:t xml:space="preserve"> the experiment not </w:t>
      </w:r>
      <w:r w:rsidR="005010B4">
        <w:t xml:space="preserve">been </w:t>
      </w:r>
      <w:r w:rsidRPr="00C43523">
        <w:t>conducted</w:t>
      </w:r>
      <w:r w:rsidR="005010B4">
        <w:t xml:space="preserve">. This Counterfactual case assumes that HFE  water was </w:t>
      </w:r>
      <w:r>
        <w:t>reallocat</w:t>
      </w:r>
      <w:r w:rsidR="005010B4">
        <w:t xml:space="preserve">ed </w:t>
      </w:r>
      <w:r w:rsidR="002F25E7">
        <w:t xml:space="preserve">from </w:t>
      </w:r>
      <w:r>
        <w:t>March and April</w:t>
      </w:r>
      <w:r w:rsidR="005010B4">
        <w:t xml:space="preserve"> to November</w:t>
      </w:r>
      <w:r w:rsidR="002F25E7">
        <w:t>.</w:t>
      </w:r>
      <w:r w:rsidRPr="00C43523">
        <w:t xml:space="preserve"> </w:t>
      </w:r>
      <w:r w:rsidR="002F25E7">
        <w:t>This Counterfactual case uses</w:t>
      </w:r>
      <w:r w:rsidR="002F25E7" w:rsidRPr="00C43523">
        <w:t xml:space="preserve"> </w:t>
      </w:r>
      <w:r w:rsidRPr="00C43523">
        <w:t>historical water release volumes as a benchmark</w:t>
      </w:r>
      <w:r w:rsidR="002F25E7">
        <w:t xml:space="preserve"> from which the water is reallocated (i.e., 18.5 MAF more water volume than the actual historical level during each of the 2 months)</w:t>
      </w:r>
      <w:r w:rsidRPr="00C43523">
        <w:t xml:space="preserve">. </w:t>
      </w:r>
    </w:p>
    <w:p w:rsidR="00C43523" w:rsidRPr="00C43523" w:rsidRDefault="00C43523" w:rsidP="00C43523"/>
    <w:p w:rsidR="00DC3DD2" w:rsidRDefault="00DC3DD2" w:rsidP="00C43523"/>
    <w:p w:rsidR="00DC3DD2" w:rsidRDefault="00B93705" w:rsidP="00C43523">
      <w:r>
        <w:rPr>
          <w:noProof/>
        </w:rPr>
        <mc:AlternateContent>
          <mc:Choice Requires="wps">
            <w:drawing>
              <wp:anchor distT="0" distB="0" distL="114300" distR="114300" simplePos="0" relativeHeight="251685888" behindDoc="0" locked="0" layoutInCell="1" allowOverlap="1" wp14:anchorId="5658F4FA" wp14:editId="5E1EEFD2">
                <wp:simplePos x="0" y="0"/>
                <wp:positionH relativeFrom="column">
                  <wp:posOffset>0</wp:posOffset>
                </wp:positionH>
                <wp:positionV relativeFrom="paragraph">
                  <wp:posOffset>4034790</wp:posOffset>
                </wp:positionV>
                <wp:extent cx="5943600" cy="635"/>
                <wp:effectExtent l="0" t="0" r="0" b="0"/>
                <wp:wrapTopAndBottom/>
                <wp:docPr id="26" name="Text Box 26"/>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E25099" w:rsidRPr="00D51999" w:rsidRDefault="00E25099" w:rsidP="00DC3DD2">
                            <w:pPr>
                              <w:pStyle w:val="Caption"/>
                              <w:jc w:val="center"/>
                            </w:pPr>
                            <w:bookmarkStart w:id="48" w:name="_Toc19196935"/>
                            <w:r>
                              <w:t>Figure A</w:t>
                            </w:r>
                            <w:r>
                              <w:noBreakHyphen/>
                            </w:r>
                            <w:r w:rsidR="00CE27EE">
                              <w:rPr>
                                <w:noProof/>
                              </w:rPr>
                              <w:fldChar w:fldCharType="begin"/>
                            </w:r>
                            <w:r w:rsidR="00CE27EE">
                              <w:rPr>
                                <w:noProof/>
                              </w:rPr>
                              <w:instrText xml:space="preserve"> SEQ Figur</w:instrText>
                            </w:r>
                            <w:r w:rsidR="00CE27EE">
                              <w:rPr>
                                <w:noProof/>
                              </w:rPr>
                              <w:instrText xml:space="preserve">e \* ARABIC \s 1 </w:instrText>
                            </w:r>
                            <w:r w:rsidR="00CE27EE">
                              <w:rPr>
                                <w:noProof/>
                              </w:rPr>
                              <w:fldChar w:fldCharType="separate"/>
                            </w:r>
                            <w:r>
                              <w:rPr>
                                <w:noProof/>
                              </w:rPr>
                              <w:t>2</w:t>
                            </w:r>
                            <w:r w:rsidR="00CE27EE">
                              <w:rPr>
                                <w:noProof/>
                              </w:rPr>
                              <w:fldChar w:fldCharType="end"/>
                            </w:r>
                            <w:r>
                              <w:t xml:space="preserve"> Comparison of monthly c</w:t>
                            </w:r>
                            <w:r w:rsidRPr="00DC3DD2">
                              <w:t>ost</w:t>
                            </w:r>
                            <w:r>
                              <w:t>s</w:t>
                            </w:r>
                            <w:r w:rsidRPr="00DC3DD2">
                              <w:t xml:space="preserve"> of HFE in WY 201</w:t>
                            </w:r>
                            <w:r>
                              <w:t>9</w:t>
                            </w:r>
                            <w:r w:rsidRPr="00DC3DD2">
                              <w:t>, based on</w:t>
                            </w:r>
                            <w:r>
                              <w:t xml:space="preserve"> planned and</w:t>
                            </w:r>
                            <w:r w:rsidRPr="00DC3DD2">
                              <w:t xml:space="preserve"> historical data</w:t>
                            </w:r>
                            <w:bookmarkEnd w:id="4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658F4FA" id="Text Box 26" o:spid="_x0000_s1036" type="#_x0000_t202" style="position:absolute;left:0;text-align:left;margin-left:0;margin-top:317.7pt;width:468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" stroked="f">
                <v:textbox style="mso-fit-shape-to-text:t" inset="0,0,0,0">
                  <w:txbxContent>
                    <w:p w:rsidR="00E25099" w:rsidRPr="00D51999" w:rsidRDefault="00E25099" w:rsidP="00DC3DD2">
                      <w:pPr>
                        <w:pStyle w:val="Caption"/>
                        <w:jc w:val="center"/>
                      </w:pPr>
                      <w:bookmarkStart w:id="56" w:name="_Toc19196935"/>
                      <w:r>
                        <w:t>Figure A</w:t>
                      </w:r>
                      <w:r>
                        <w:noBreakHyphen/>
                      </w:r>
                      <w:fldSimple w:instr=" SEQ Figure \* ARABIC \s 1 ">
                        <w:r>
                          <w:rPr>
                            <w:noProof/>
                          </w:rPr>
                          <w:t>2</w:t>
                        </w:r>
                      </w:fldSimple>
                      <w:r>
                        <w:t xml:space="preserve"> Comparison of monthly c</w:t>
                      </w:r>
                      <w:r w:rsidRPr="00DC3DD2">
                        <w:t>ost</w:t>
                      </w:r>
                      <w:r>
                        <w:t>s</w:t>
                      </w:r>
                      <w:r w:rsidRPr="00DC3DD2">
                        <w:t xml:space="preserve"> of HFE in WY 201</w:t>
                      </w:r>
                      <w:r>
                        <w:t>9</w:t>
                      </w:r>
                      <w:r w:rsidRPr="00DC3DD2">
                        <w:t>, based on</w:t>
                      </w:r>
                      <w:r>
                        <w:t xml:space="preserve"> planned and</w:t>
                      </w:r>
                      <w:r w:rsidRPr="00DC3DD2">
                        <w:t xml:space="preserve"> historical data</w:t>
                      </w:r>
                      <w:bookmarkEnd w:id="56"/>
                    </w:p>
                  </w:txbxContent>
                </v:textbox>
                <w10:wrap type="topAndBottom"/>
              </v:shape>
            </w:pict>
          </mc:Fallback>
        </mc:AlternateContent>
      </w:r>
      <w:r w:rsidRPr="00B93705">
        <w:rPr>
          <w:noProof/>
        </w:rPr>
        <w:drawing>
          <wp:anchor distT="0" distB="0" distL="114300" distR="114300" simplePos="0" relativeHeight="251703296" behindDoc="0" locked="0" layoutInCell="1" allowOverlap="1">
            <wp:simplePos x="0" y="0"/>
            <wp:positionH relativeFrom="column">
              <wp:posOffset>0</wp:posOffset>
            </wp:positionH>
            <wp:positionV relativeFrom="paragraph">
              <wp:posOffset>781050</wp:posOffset>
            </wp:positionV>
            <wp:extent cx="5943600" cy="323405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3234055"/>
                    </a:xfrm>
                    <a:prstGeom prst="rect">
                      <a:avLst/>
                    </a:prstGeom>
                    <a:noFill/>
                    <a:ln>
                      <a:noFill/>
                    </a:ln>
                  </pic:spPr>
                </pic:pic>
              </a:graphicData>
            </a:graphic>
          </wp:anchor>
        </w:drawing>
      </w:r>
      <w:r w:rsidR="00DC3DD2" w:rsidRPr="008F1379">
        <w:t xml:space="preserve">Figure A.2 shows </w:t>
      </w:r>
      <w:r w:rsidR="00DC3DD2">
        <w:t xml:space="preserve">a comparison of the </w:t>
      </w:r>
      <w:r w:rsidR="00DC3DD2" w:rsidRPr="008F1379">
        <w:t xml:space="preserve">monthly </w:t>
      </w:r>
      <w:r w:rsidR="00DC3DD2">
        <w:t xml:space="preserve">HFE costs based </w:t>
      </w:r>
      <w:r w:rsidR="00DC3DD2" w:rsidRPr="008F1379">
        <w:t xml:space="preserve">on </w:t>
      </w:r>
      <w:r w:rsidR="00DC3DD2" w:rsidRPr="00C25D62">
        <w:rPr>
          <w:i/>
        </w:rPr>
        <w:t>historical</w:t>
      </w:r>
      <w:r w:rsidR="00DC3DD2" w:rsidRPr="008F1379">
        <w:rPr>
          <w:b/>
        </w:rPr>
        <w:t xml:space="preserve"> </w:t>
      </w:r>
      <w:r w:rsidR="00DC3DD2" w:rsidRPr="00DC3DD2">
        <w:t xml:space="preserve">and </w:t>
      </w:r>
      <w:r w:rsidR="00DC3DD2" w:rsidRPr="00DC3DD2">
        <w:rPr>
          <w:i/>
        </w:rPr>
        <w:t>planned</w:t>
      </w:r>
      <w:r w:rsidR="00DC3DD2" w:rsidRPr="00DC3DD2">
        <w:rPr>
          <w:b/>
          <w:i/>
        </w:rPr>
        <w:t xml:space="preserve"> </w:t>
      </w:r>
      <w:r w:rsidR="00DC3DD2" w:rsidRPr="008F1379">
        <w:t xml:space="preserve">water release </w:t>
      </w:r>
      <w:r w:rsidR="005010B4">
        <w:t>assumptions</w:t>
      </w:r>
      <w:r w:rsidR="00DC3DD2" w:rsidRPr="008F1379">
        <w:t xml:space="preserve">. </w:t>
      </w:r>
      <w:r w:rsidR="00DC3DD2">
        <w:t>Note that the two patterns are very similar.</w:t>
      </w:r>
      <w:r w:rsidR="00DC3DD2" w:rsidRPr="00D103FA">
        <w:t xml:space="preserve"> </w:t>
      </w:r>
      <w:r w:rsidR="00DC3DD2">
        <w:t>Total HFE cost estimates are</w:t>
      </w:r>
      <w:r w:rsidR="005441DE">
        <w:t xml:space="preserve"> nearly</w:t>
      </w:r>
      <w:r w:rsidR="00DC3DD2">
        <w:t xml:space="preserve"> identical, that is, </w:t>
      </w:r>
      <w:r w:rsidR="00DC3DD2" w:rsidRPr="008474F9">
        <w:rPr>
          <w:b/>
        </w:rPr>
        <w:t>$1.</w:t>
      </w:r>
      <w:r w:rsidR="005441DE">
        <w:rPr>
          <w:b/>
        </w:rPr>
        <w:t>31</w:t>
      </w:r>
      <w:r w:rsidR="008474F9" w:rsidRPr="008474F9">
        <w:rPr>
          <w:b/>
        </w:rPr>
        <w:t xml:space="preserve"> million</w:t>
      </w:r>
      <w:r w:rsidR="008474F9">
        <w:t xml:space="preserve"> using</w:t>
      </w:r>
      <w:r w:rsidR="005441DE">
        <w:t xml:space="preserve"> both</w:t>
      </w:r>
      <w:r w:rsidR="00DC3DD2">
        <w:t xml:space="preserve"> </w:t>
      </w:r>
      <w:r w:rsidR="00DC3DD2" w:rsidRPr="00C25D62">
        <w:rPr>
          <w:i/>
        </w:rPr>
        <w:t>planned</w:t>
      </w:r>
      <w:r w:rsidR="00DC3DD2">
        <w:t xml:space="preserve"> assumptions </w:t>
      </w:r>
      <w:r w:rsidR="00DC3DD2" w:rsidRPr="00C25D62">
        <w:rPr>
          <w:i/>
        </w:rPr>
        <w:t>historical</w:t>
      </w:r>
      <w:r w:rsidR="00DC3DD2">
        <w:t xml:space="preserve"> assumptions.</w:t>
      </w:r>
    </w:p>
    <w:p w:rsidR="008474F9" w:rsidRDefault="008474F9" w:rsidP="00C43523"/>
    <w:p w:rsidR="008474F9" w:rsidRDefault="008474F9" w:rsidP="00C43523"/>
    <w:p w:rsidR="00922B52" w:rsidRPr="00C43523" w:rsidRDefault="00922B52" w:rsidP="00C43523"/>
    <w:p w:rsidR="00DC3DD2" w:rsidRDefault="00DC3DD2">
      <w:pPr>
        <w:spacing w:line="240" w:lineRule="auto"/>
        <w:jc w:val="left"/>
      </w:pPr>
      <w:r>
        <w:br w:type="page"/>
      </w:r>
    </w:p>
    <w:p w:rsidR="00DC3DD2" w:rsidRDefault="00DC3DD2" w:rsidP="005024E0">
      <w:pPr>
        <w:spacing w:line="240" w:lineRule="auto"/>
        <w:jc w:val="left"/>
        <w:sectPr w:rsidR="00DC3DD2" w:rsidSect="005049A9">
          <w:footerReference w:type="default" r:id="rId40"/>
          <w:pgSz w:w="12240" w:h="15840" w:code="1"/>
          <w:pgMar w:top="1440" w:right="1440" w:bottom="1080" w:left="1440" w:header="720" w:footer="720" w:gutter="0"/>
          <w:pgNumType w:start="1"/>
          <w:cols w:space="720"/>
          <w:docGrid w:linePitch="360"/>
        </w:sectPr>
      </w:pPr>
    </w:p>
    <w:p w:rsidR="00DC3DD2" w:rsidRDefault="00DC3DD2" w:rsidP="00DC3DD2">
      <w:pPr>
        <w:pStyle w:val="Heading1"/>
        <w:numPr>
          <w:ilvl w:val="0"/>
          <w:numId w:val="0"/>
        </w:numPr>
        <w:jc w:val="left"/>
        <w:rPr>
          <w:bCs/>
        </w:rPr>
      </w:pPr>
      <w:bookmarkStart w:id="49" w:name="_Toc19196978"/>
      <w:r>
        <w:rPr>
          <w:bCs/>
        </w:rPr>
        <w:t xml:space="preserve">Appendix B: </w:t>
      </w:r>
      <w:r w:rsidR="00B76444">
        <w:rPr>
          <w:bCs/>
        </w:rPr>
        <w:t>GTMax SL</w:t>
      </w:r>
      <w:r w:rsidRPr="00DC3DD2">
        <w:rPr>
          <w:bCs/>
        </w:rPr>
        <w:t xml:space="preserve"> Simulations for Water Year 201</w:t>
      </w:r>
      <w:r>
        <w:rPr>
          <w:bCs/>
        </w:rPr>
        <w:t>9</w:t>
      </w:r>
      <w:r w:rsidRPr="00DC3DD2">
        <w:rPr>
          <w:bCs/>
        </w:rPr>
        <w:t>: Aggregated Demand and Supply (Other than GCD) Profiles</w:t>
      </w:r>
      <w:bookmarkEnd w:id="49"/>
    </w:p>
    <w:p w:rsidR="003540CF" w:rsidRPr="003540CF" w:rsidRDefault="003540CF" w:rsidP="003540CF"/>
    <w:p w:rsidR="00DC3DD2" w:rsidRDefault="00DC3DD2" w:rsidP="005024E0">
      <w:pPr>
        <w:spacing w:line="240" w:lineRule="auto"/>
        <w:jc w:val="left"/>
      </w:pPr>
    </w:p>
    <w:p w:rsidR="003540CF" w:rsidRDefault="00DC3DD2" w:rsidP="003540CF">
      <w:pPr>
        <w:keepNext/>
        <w:spacing w:line="240" w:lineRule="auto"/>
        <w:jc w:val="left"/>
      </w:pPr>
      <w:r w:rsidRPr="00DC3DD2">
        <w:rPr>
          <w:noProof/>
        </w:rPr>
        <w:drawing>
          <wp:inline distT="0" distB="0" distL="0" distR="0" wp14:anchorId="31383F53" wp14:editId="152E7EA2">
            <wp:extent cx="5755563" cy="2990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3908" cy="2995186"/>
                    </a:xfrm>
                    <a:prstGeom prst="rect">
                      <a:avLst/>
                    </a:prstGeom>
                    <a:noFill/>
                    <a:ln>
                      <a:noFill/>
                    </a:ln>
                  </pic:spPr>
                </pic:pic>
              </a:graphicData>
            </a:graphic>
          </wp:inline>
        </w:drawing>
      </w:r>
    </w:p>
    <w:p w:rsidR="003540CF" w:rsidRDefault="00326E22" w:rsidP="003540CF">
      <w:pPr>
        <w:pStyle w:val="Caption"/>
        <w:jc w:val="center"/>
      </w:pPr>
      <w:bookmarkStart w:id="50" w:name="_Toc19196936"/>
      <w:r>
        <w:t>Figure B</w:t>
      </w:r>
      <w:r w:rsidR="00782BDF">
        <w:noBreakHyphen/>
      </w:r>
      <w:r w:rsidR="00CE27EE">
        <w:rPr>
          <w:noProof/>
        </w:rPr>
        <w:fldChar w:fldCharType="begin"/>
      </w:r>
      <w:r w:rsidR="00CE27EE">
        <w:rPr>
          <w:noProof/>
        </w:rPr>
        <w:instrText xml:space="preserve"> SEQ Figure \* ARABIC \s 1 </w:instrText>
      </w:r>
      <w:r w:rsidR="00CE27EE">
        <w:rPr>
          <w:noProof/>
        </w:rPr>
        <w:fldChar w:fldCharType="separate"/>
      </w:r>
      <w:r w:rsidR="00782BDF">
        <w:rPr>
          <w:noProof/>
        </w:rPr>
        <w:t>1</w:t>
      </w:r>
      <w:r w:rsidR="00CE27EE">
        <w:rPr>
          <w:noProof/>
        </w:rPr>
        <w:fldChar w:fldCharType="end"/>
      </w:r>
      <w:r w:rsidR="003540CF">
        <w:t xml:space="preserve"> </w:t>
      </w:r>
      <w:r w:rsidR="003540CF" w:rsidRPr="003540CF">
        <w:t>Typical week aggregated demand profile of the SLCA/IP system in November 201</w:t>
      </w:r>
      <w:r w:rsidR="003540CF">
        <w:t>8</w:t>
      </w:r>
      <w:r w:rsidR="003540CF" w:rsidRPr="003540CF">
        <w:t>, excluding HFE days, from historical values</w:t>
      </w:r>
      <w:bookmarkEnd w:id="50"/>
    </w:p>
    <w:p w:rsidR="009A5000" w:rsidRDefault="00DC3DD2" w:rsidP="005024E0">
      <w:pPr>
        <w:spacing w:line="240" w:lineRule="auto"/>
        <w:jc w:val="left"/>
      </w:pPr>
      <w:r w:rsidRPr="00DC3DD2">
        <w:t xml:space="preserve"> </w:t>
      </w:r>
    </w:p>
    <w:p w:rsidR="009A5000" w:rsidRDefault="009A5000" w:rsidP="005024E0">
      <w:pPr>
        <w:spacing w:line="240" w:lineRule="auto"/>
        <w:jc w:val="left"/>
      </w:pPr>
    </w:p>
    <w:p w:rsidR="009A5000" w:rsidRDefault="009A5000" w:rsidP="005024E0">
      <w:pPr>
        <w:spacing w:line="240" w:lineRule="auto"/>
        <w:jc w:val="left"/>
      </w:pPr>
    </w:p>
    <w:p w:rsidR="003540CF" w:rsidRDefault="009A5000" w:rsidP="003540CF">
      <w:pPr>
        <w:keepNext/>
        <w:spacing w:line="240" w:lineRule="auto"/>
        <w:jc w:val="left"/>
      </w:pPr>
      <w:r w:rsidRPr="009A5000">
        <w:rPr>
          <w:noProof/>
        </w:rPr>
        <w:drawing>
          <wp:inline distT="0" distB="0" distL="0" distR="0" wp14:anchorId="4CED4FDC" wp14:editId="0A7C1B3E">
            <wp:extent cx="5729845" cy="3220002"/>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6826" cy="3235165"/>
                    </a:xfrm>
                    <a:prstGeom prst="rect">
                      <a:avLst/>
                    </a:prstGeom>
                    <a:noFill/>
                    <a:ln>
                      <a:noFill/>
                    </a:ln>
                  </pic:spPr>
                </pic:pic>
              </a:graphicData>
            </a:graphic>
          </wp:inline>
        </w:drawing>
      </w:r>
    </w:p>
    <w:p w:rsidR="003540CF" w:rsidRDefault="00326E22" w:rsidP="003540CF">
      <w:pPr>
        <w:pStyle w:val="Caption"/>
        <w:jc w:val="center"/>
      </w:pPr>
      <w:bookmarkStart w:id="51" w:name="_Toc19196937"/>
      <w:r>
        <w:t>Figure B</w:t>
      </w:r>
      <w:r w:rsidR="00782BDF">
        <w:noBreakHyphen/>
      </w:r>
      <w:r w:rsidR="00CE27EE">
        <w:rPr>
          <w:noProof/>
        </w:rPr>
        <w:fldChar w:fldCharType="begin"/>
      </w:r>
      <w:r w:rsidR="00CE27EE">
        <w:rPr>
          <w:noProof/>
        </w:rPr>
        <w:instrText xml:space="preserve"> SEQ Figure \* ARABIC \s 1 </w:instrText>
      </w:r>
      <w:r w:rsidR="00CE27EE">
        <w:rPr>
          <w:noProof/>
        </w:rPr>
        <w:fldChar w:fldCharType="separate"/>
      </w:r>
      <w:r w:rsidR="00782BDF">
        <w:rPr>
          <w:noProof/>
        </w:rPr>
        <w:t>2</w:t>
      </w:r>
      <w:r w:rsidR="00CE27EE">
        <w:rPr>
          <w:noProof/>
        </w:rPr>
        <w:fldChar w:fldCharType="end"/>
      </w:r>
      <w:r w:rsidR="003540CF">
        <w:t xml:space="preserve"> </w:t>
      </w:r>
      <w:r w:rsidR="003540CF" w:rsidRPr="003540CF">
        <w:t>Typical week aggregated supply profile of all plants</w:t>
      </w:r>
      <w:r w:rsidR="003540CF">
        <w:t xml:space="preserve"> apart from GCD in November 2018</w:t>
      </w:r>
      <w:r w:rsidR="003540CF" w:rsidRPr="003540CF">
        <w:t>, excluding HFE days, from historical values</w:t>
      </w:r>
      <w:bookmarkEnd w:id="51"/>
    </w:p>
    <w:p w:rsidR="003540CF" w:rsidRDefault="009A5000" w:rsidP="003540CF">
      <w:pPr>
        <w:spacing w:line="240" w:lineRule="auto"/>
        <w:jc w:val="left"/>
      </w:pPr>
      <w:r w:rsidRPr="009A5000">
        <w:t xml:space="preserve"> </w:t>
      </w:r>
      <w:r w:rsidR="00D94909" w:rsidRPr="00D94909">
        <w:rPr>
          <w:noProof/>
        </w:rPr>
        <w:drawing>
          <wp:inline distT="0" distB="0" distL="0" distR="0" wp14:anchorId="7575D9A4" wp14:editId="5A514340">
            <wp:extent cx="5943600" cy="3065346"/>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065346"/>
                    </a:xfrm>
                    <a:prstGeom prst="rect">
                      <a:avLst/>
                    </a:prstGeom>
                    <a:noFill/>
                    <a:ln>
                      <a:noFill/>
                    </a:ln>
                  </pic:spPr>
                </pic:pic>
              </a:graphicData>
            </a:graphic>
          </wp:inline>
        </w:drawing>
      </w:r>
    </w:p>
    <w:p w:rsidR="003540CF" w:rsidRDefault="00326E22" w:rsidP="003540CF">
      <w:pPr>
        <w:pStyle w:val="Caption"/>
        <w:jc w:val="center"/>
      </w:pPr>
      <w:bookmarkStart w:id="52" w:name="_Toc19196938"/>
      <w:r>
        <w:t>Figure B</w:t>
      </w:r>
      <w:r w:rsidR="00782BDF">
        <w:noBreakHyphen/>
      </w:r>
      <w:r w:rsidR="00CE27EE">
        <w:rPr>
          <w:noProof/>
        </w:rPr>
        <w:fldChar w:fldCharType="begin"/>
      </w:r>
      <w:r w:rsidR="00CE27EE">
        <w:rPr>
          <w:noProof/>
        </w:rPr>
        <w:instrText xml:space="preserve"> SEQ Figure \* ARABIC \s 1 </w:instrText>
      </w:r>
      <w:r w:rsidR="00CE27EE">
        <w:rPr>
          <w:noProof/>
        </w:rPr>
        <w:fldChar w:fldCharType="separate"/>
      </w:r>
      <w:r w:rsidR="00782BDF">
        <w:rPr>
          <w:noProof/>
        </w:rPr>
        <w:t>3</w:t>
      </w:r>
      <w:r w:rsidR="00CE27EE">
        <w:rPr>
          <w:noProof/>
        </w:rPr>
        <w:fldChar w:fldCharType="end"/>
      </w:r>
      <w:r w:rsidR="003540CF" w:rsidRPr="00D94909">
        <w:t xml:space="preserve"> Typical week generation profile at GCD in November 2018, excluding HFE days, from historical values and calculated by </w:t>
      </w:r>
      <w:r w:rsidR="00B76444">
        <w:t>GTMax SL</w:t>
      </w:r>
      <w:r w:rsidR="003540CF" w:rsidRPr="00D94909">
        <w:t xml:space="preserve"> Model</w:t>
      </w:r>
      <w:bookmarkEnd w:id="52"/>
    </w:p>
    <w:p w:rsidR="00EF2DD1" w:rsidRDefault="003540CF" w:rsidP="00EC455D">
      <w:pPr>
        <w:spacing w:line="240" w:lineRule="auto"/>
        <w:jc w:val="left"/>
      </w:pPr>
      <w:r w:rsidRPr="003540CF">
        <w:t xml:space="preserve"> </w:t>
      </w:r>
    </w:p>
    <w:p w:rsidR="00EF2DD1" w:rsidRDefault="00EF2DD1">
      <w:pPr>
        <w:spacing w:line="240" w:lineRule="auto"/>
        <w:jc w:val="left"/>
      </w:pPr>
      <w:r>
        <w:br w:type="page"/>
      </w:r>
    </w:p>
    <w:p w:rsidR="00EF2DD1" w:rsidRDefault="00EF2DD1" w:rsidP="00EC455D">
      <w:pPr>
        <w:spacing w:line="240" w:lineRule="auto"/>
        <w:jc w:val="left"/>
        <w:sectPr w:rsidR="00EF2DD1" w:rsidSect="005049A9">
          <w:footerReference w:type="default" r:id="rId44"/>
          <w:pgSz w:w="12240" w:h="15840" w:code="1"/>
          <w:pgMar w:top="1440" w:right="1440" w:bottom="1080" w:left="1440" w:header="720" w:footer="720" w:gutter="0"/>
          <w:pgNumType w:start="1"/>
          <w:cols w:space="720"/>
          <w:docGrid w:linePitch="360"/>
        </w:sectPr>
      </w:pPr>
    </w:p>
    <w:p w:rsidR="002B0B48" w:rsidRPr="00DA47E7" w:rsidRDefault="002B0B48" w:rsidP="00EC455D">
      <w:pPr>
        <w:spacing w:line="240" w:lineRule="auto"/>
        <w:jc w:val="left"/>
        <w:sectPr w:rsidR="002B0B48" w:rsidRPr="00DA47E7" w:rsidSect="005049A9">
          <w:footerReference w:type="default" r:id="rId45"/>
          <w:pgSz w:w="12240" w:h="15840" w:code="1"/>
          <w:pgMar w:top="1440" w:right="1440" w:bottom="1080" w:left="1440" w:header="720" w:footer="720" w:gutter="0"/>
          <w:pgNumType w:start="1"/>
          <w:cols w:space="720"/>
          <w:docGrid w:linePitch="360"/>
        </w:sectPr>
      </w:pPr>
    </w:p>
    <w:p w:rsidR="005261F8" w:rsidRDefault="005261F8">
      <w:pPr>
        <w:spacing w:line="240" w:lineRule="auto"/>
        <w:jc w:val="left"/>
        <w:rPr>
          <w:rFonts w:ascii="Arial" w:hAnsi="Arial"/>
        </w:rPr>
      </w:pPr>
    </w:p>
    <w:p w:rsidR="00A83D01" w:rsidRDefault="000B664D" w:rsidP="007C3534">
      <w:pPr>
        <w:pStyle w:val="Normal-Arial"/>
      </w:pPr>
      <w:r>
        <w:rPr>
          <w:noProof/>
        </w:rPr>
        <w:drawing>
          <wp:anchor distT="0" distB="0" distL="114300" distR="114300" simplePos="0" relativeHeight="251658240" behindDoc="0" locked="0" layoutInCell="1" allowOverlap="1" wp14:anchorId="68EF4AAF" wp14:editId="3F110599">
            <wp:simplePos x="0" y="0"/>
            <wp:positionH relativeFrom="page">
              <wp:posOffset>685800</wp:posOffset>
            </wp:positionH>
            <wp:positionV relativeFrom="page">
              <wp:posOffset>457200</wp:posOffset>
            </wp:positionV>
            <wp:extent cx="1828800" cy="691515"/>
            <wp:effectExtent l="0" t="0" r="0" b="0"/>
            <wp:wrapNone/>
            <wp:docPr id="8" name="Picture 8" descr="ANL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L_2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2880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D01" w:rsidRDefault="00A83D01" w:rsidP="007C3534">
      <w:pPr>
        <w:pStyle w:val="Normal-Arial"/>
      </w:pPr>
    </w:p>
    <w:p w:rsidR="007C3534" w:rsidRDefault="007C3534"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Default="00B41EF6" w:rsidP="00A0772E">
      <w:pPr>
        <w:pStyle w:val="Normal-Arial"/>
      </w:pPr>
    </w:p>
    <w:p w:rsidR="00B41EF6" w:rsidRPr="00A0772E" w:rsidRDefault="00B41EF6" w:rsidP="00A0772E">
      <w:pPr>
        <w:pStyle w:val="Normal-Arial"/>
      </w:pPr>
    </w:p>
    <w:tbl>
      <w:tblPr>
        <w:tblpPr w:vertAnchor="page" w:horzAnchor="margin" w:tblpX="540" w:tblpY="2521"/>
        <w:tblOverlap w:val="never"/>
        <w:tblW w:w="9216" w:type="dxa"/>
        <w:tblLayout w:type="fixed"/>
        <w:tblCellMar>
          <w:left w:w="0" w:type="dxa"/>
          <w:right w:w="0" w:type="dxa"/>
        </w:tblCellMar>
        <w:tblLook w:val="01E0" w:firstRow="1" w:lastRow="1" w:firstColumn="1" w:lastColumn="1" w:noHBand="0" w:noVBand="0"/>
      </w:tblPr>
      <w:tblGrid>
        <w:gridCol w:w="9216"/>
      </w:tblGrid>
      <w:tr w:rsidR="007C3534" w:rsidRPr="003F1FDA" w:rsidTr="00757561">
        <w:trPr>
          <w:cantSplit/>
          <w:trHeight w:hRule="exact" w:val="1800"/>
        </w:trPr>
        <w:tc>
          <w:tcPr>
            <w:tcW w:w="9216" w:type="dxa"/>
          </w:tcPr>
          <w:p w:rsidR="007C3534" w:rsidRPr="003F1FDA" w:rsidRDefault="00EA7E22" w:rsidP="00F168F7">
            <w:pPr>
              <w:pStyle w:val="BackCover"/>
              <w:keepNext/>
              <w:keepLines/>
              <w:framePr w:wrap="auto" w:vAnchor="margin" w:hAnchor="text" w:yAlign="inline"/>
              <w:tabs>
                <w:tab w:val="left" w:pos="432"/>
              </w:tabs>
              <w:spacing w:line="336" w:lineRule="exact"/>
              <w:ind w:left="187" w:hanging="187"/>
              <w:suppressOverlap w:val="0"/>
              <w:rPr>
                <w:b/>
                <w:sz w:val="28"/>
                <w:szCs w:val="28"/>
              </w:rPr>
            </w:pPr>
            <w:r>
              <w:rPr>
                <w:b/>
                <w:sz w:val="28"/>
                <w:szCs w:val="28"/>
              </w:rPr>
              <w:t xml:space="preserve">Energy Systems </w:t>
            </w:r>
            <w:r w:rsidR="007C05B8">
              <w:rPr>
                <w:b/>
                <w:sz w:val="28"/>
                <w:szCs w:val="28"/>
              </w:rPr>
              <w:t>Division</w:t>
            </w:r>
          </w:p>
          <w:p w:rsidR="007C3534" w:rsidRDefault="007C3534" w:rsidP="00F168F7">
            <w:pPr>
              <w:pStyle w:val="BackCover"/>
              <w:framePr w:wrap="auto" w:vAnchor="margin" w:hAnchor="text" w:yAlign="inline"/>
              <w:suppressOverlap w:val="0"/>
            </w:pPr>
            <w:r>
              <w:t>Argonne National Laboratory</w:t>
            </w:r>
          </w:p>
          <w:p w:rsidR="007C3534" w:rsidRDefault="007C3534" w:rsidP="00F168F7">
            <w:pPr>
              <w:pStyle w:val="BackCover"/>
              <w:keepNext/>
              <w:keepLines/>
              <w:framePr w:wrap="auto" w:vAnchor="margin" w:hAnchor="text" w:yAlign="inline"/>
              <w:tabs>
                <w:tab w:val="left" w:pos="432"/>
              </w:tabs>
              <w:ind w:left="187" w:hanging="187"/>
              <w:suppressOverlap w:val="0"/>
            </w:pPr>
            <w:r>
              <w:t xml:space="preserve">9700 South Cass Avenue, Bldg. </w:t>
            </w:r>
            <w:r w:rsidR="00EA7E22">
              <w:t>362</w:t>
            </w:r>
          </w:p>
          <w:p w:rsidR="007C3534" w:rsidRDefault="00A34213" w:rsidP="00F168F7">
            <w:pPr>
              <w:pStyle w:val="BackCover"/>
              <w:keepNext/>
              <w:keepLines/>
              <w:framePr w:wrap="auto" w:vAnchor="margin" w:hAnchor="text" w:yAlign="inline"/>
              <w:tabs>
                <w:tab w:val="left" w:pos="432"/>
              </w:tabs>
              <w:ind w:left="187" w:hanging="187"/>
              <w:suppressOverlap w:val="0"/>
            </w:pPr>
            <w:r>
              <w:t>Argonne, IL 60439</w:t>
            </w:r>
          </w:p>
          <w:p w:rsidR="007C3534" w:rsidRDefault="007C3534" w:rsidP="00F168F7">
            <w:pPr>
              <w:pStyle w:val="BackCover"/>
              <w:keepNext/>
              <w:keepLines/>
              <w:framePr w:wrap="auto" w:vAnchor="margin" w:hAnchor="text" w:yAlign="inline"/>
              <w:tabs>
                <w:tab w:val="left" w:pos="432"/>
              </w:tabs>
              <w:ind w:left="187" w:hanging="187"/>
              <w:suppressOverlap w:val="0"/>
            </w:pPr>
          </w:p>
          <w:p w:rsidR="007C3534" w:rsidRPr="003F1FDA" w:rsidRDefault="007C3534" w:rsidP="00F168F7">
            <w:pPr>
              <w:pStyle w:val="BackCover"/>
              <w:keepNext/>
              <w:keepLines/>
              <w:framePr w:wrap="auto" w:vAnchor="margin" w:hAnchor="text" w:yAlign="inline"/>
              <w:tabs>
                <w:tab w:val="left" w:pos="432"/>
              </w:tabs>
              <w:ind w:left="187" w:hanging="187"/>
              <w:suppressOverlap w:val="0"/>
              <w:rPr>
                <w:lang w:val="fr-FR"/>
              </w:rPr>
            </w:pPr>
            <w:r>
              <w:t>www.anl.gov</w:t>
            </w:r>
          </w:p>
        </w:tc>
      </w:tr>
    </w:tbl>
    <w:p w:rsidR="004749B8" w:rsidRDefault="004749B8" w:rsidP="00D16DF1">
      <w:pPr>
        <w:pStyle w:val="Normal-Arial"/>
        <w:rPr>
          <w:lang w:val="fr-FR"/>
        </w:rPr>
      </w:pPr>
    </w:p>
    <w:p w:rsidR="00B41EF6" w:rsidRDefault="00B41EF6" w:rsidP="00D16DF1">
      <w:pPr>
        <w:pStyle w:val="Normal-Arial"/>
        <w:rPr>
          <w:lang w:val="fr-FR"/>
        </w:rPr>
      </w:pPr>
    </w:p>
    <w:p w:rsidR="00B41EF6" w:rsidRPr="00B41EF6" w:rsidRDefault="00B41EF6" w:rsidP="00B41EF6">
      <w:pPr>
        <w:rPr>
          <w:lang w:val="fr-FR"/>
        </w:rPr>
      </w:pPr>
    </w:p>
    <w:p w:rsidR="00B41EF6" w:rsidRPr="00B41EF6" w:rsidRDefault="00B41EF6" w:rsidP="00B41EF6">
      <w:pPr>
        <w:rPr>
          <w:lang w:val="fr-FR"/>
        </w:rPr>
      </w:pPr>
      <w:r>
        <w:rPr>
          <w:noProof/>
        </w:rPr>
        <mc:AlternateContent>
          <mc:Choice Requires="wps">
            <w:drawing>
              <wp:anchor distT="0" distB="0" distL="114300" distR="114300" simplePos="0" relativeHeight="251659264" behindDoc="0" locked="0" layoutInCell="1" allowOverlap="1" wp14:anchorId="0B109940" wp14:editId="16D3D77D">
                <wp:simplePos x="0" y="0"/>
                <wp:positionH relativeFrom="column">
                  <wp:posOffset>243840</wp:posOffset>
                </wp:positionH>
                <wp:positionV relativeFrom="paragraph">
                  <wp:posOffset>39370</wp:posOffset>
                </wp:positionV>
                <wp:extent cx="2784763" cy="8686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784763" cy="868680"/>
                        </a:xfrm>
                        <a:prstGeom prst="rect">
                          <a:avLst/>
                        </a:prstGeom>
                        <a:noFill/>
                        <a:ln w="6350">
                          <a:noFill/>
                        </a:ln>
                      </wps:spPr>
                      <wps:txbx>
                        <w:txbxContent>
                          <w:p w:rsidR="00E25099" w:rsidRDefault="00E25099" w:rsidP="00B41EF6">
                            <w:pPr>
                              <w:spacing w:line="276" w:lineRule="auto"/>
                              <w:jc w:val="left"/>
                            </w:pPr>
                            <w:r>
                              <w:rPr>
                                <w:noProof/>
                              </w:rPr>
                              <w:drawing>
                                <wp:inline distT="0" distB="0" distL="0" distR="0" wp14:anchorId="77E795FB" wp14:editId="0A71BD91">
                                  <wp:extent cx="1828800" cy="461010"/>
                                  <wp:effectExtent l="0" t="0" r="0" b="0"/>
                                  <wp:docPr id="10" name="Picture 10" descr="New_DOE_Logo_Color_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DOE_Logo_Color_2in"/>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0" cy="461010"/>
                                          </a:xfrm>
                                          <a:prstGeom prst="rect">
                                            <a:avLst/>
                                          </a:prstGeom>
                                          <a:noFill/>
                                          <a:ln>
                                            <a:noFill/>
                                          </a:ln>
                                        </pic:spPr>
                                      </pic:pic>
                                    </a:graphicData>
                                  </a:graphic>
                                </wp:inline>
                              </w:drawing>
                            </w:r>
                            <w:r>
                              <w:br/>
                            </w:r>
                            <w:r w:rsidRPr="00A414B3">
                              <w:rPr>
                                <w:rFonts w:ascii="Arial" w:hAnsi="Arial"/>
                                <w:sz w:val="14"/>
                                <w:szCs w:val="14"/>
                              </w:rPr>
                              <w:t xml:space="preserve">Argonne National Laboratory is a U.S. Department of Energy </w:t>
                            </w:r>
                            <w:r w:rsidRPr="00A414B3">
                              <w:rPr>
                                <w:rFonts w:ascii="Arial" w:hAnsi="Arial"/>
                                <w:sz w:val="14"/>
                                <w:szCs w:val="14"/>
                              </w:rPr>
                              <w:br/>
                              <w:t>laboratory managed by UChicago Argonne,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109940" id="Text Box 9" o:spid="_x0000_s1037" type="#_x0000_t202" style="position:absolute;left:0;text-align:left;margin-left:19.2pt;margin-top:3.1pt;width:219.2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" filled="f" stroked="f" strokeweight=".5pt">
                <v:textbox>
                  <w:txbxContent>
                    <w:p w:rsidR="00E25099" w:rsidRDefault="00E25099" w:rsidP="00B41EF6">
                      <w:pPr>
                        <w:spacing w:line="276" w:lineRule="auto"/>
                        <w:jc w:val="left"/>
                      </w:pPr>
                      <w:r>
                        <w:rPr>
                          <w:noProof/>
                        </w:rPr>
                        <w:drawing>
                          <wp:inline distT="0" distB="0" distL="0" distR="0" wp14:anchorId="77E795FB" wp14:editId="0A71BD91">
                            <wp:extent cx="1828800" cy="461010"/>
                            <wp:effectExtent l="0" t="0" r="0" b="0"/>
                            <wp:docPr id="10" name="Picture 10" descr="New_DOE_Logo_Color_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DOE_Logo_Color_2in"/>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8800" cy="461010"/>
                                    </a:xfrm>
                                    <a:prstGeom prst="rect">
                                      <a:avLst/>
                                    </a:prstGeom>
                                    <a:noFill/>
                                    <a:ln>
                                      <a:noFill/>
                                    </a:ln>
                                  </pic:spPr>
                                </pic:pic>
                              </a:graphicData>
                            </a:graphic>
                          </wp:inline>
                        </w:drawing>
                      </w:r>
                      <w:r>
                        <w:br/>
                      </w:r>
                      <w:r w:rsidRPr="00A414B3">
                        <w:rPr>
                          <w:rFonts w:ascii="Arial" w:hAnsi="Arial"/>
                          <w:sz w:val="14"/>
                          <w:szCs w:val="14"/>
                        </w:rPr>
                        <w:t xml:space="preserve">Argonne National Laboratory is a U.S. Department of Energy </w:t>
                      </w:r>
                      <w:r w:rsidRPr="00A414B3">
                        <w:rPr>
                          <w:rFonts w:ascii="Arial" w:hAnsi="Arial"/>
                          <w:sz w:val="14"/>
                          <w:szCs w:val="14"/>
                        </w:rPr>
                        <w:br/>
                        <w:t>laboratory managed by UChicago Argonne, LLC</w:t>
                      </w:r>
                    </w:p>
                  </w:txbxContent>
                </v:textbox>
              </v:shape>
            </w:pict>
          </mc:Fallback>
        </mc:AlternateContent>
      </w:r>
    </w:p>
    <w:p w:rsidR="00B41EF6" w:rsidRPr="00B41EF6" w:rsidRDefault="00B41EF6" w:rsidP="00B41EF6">
      <w:pPr>
        <w:rPr>
          <w:lang w:val="fr-FR"/>
        </w:rPr>
      </w:pPr>
    </w:p>
    <w:p w:rsidR="00B41EF6" w:rsidRPr="00B41EF6" w:rsidRDefault="00B41EF6" w:rsidP="00B41EF6">
      <w:pPr>
        <w:rPr>
          <w:lang w:val="fr-FR"/>
        </w:rPr>
      </w:pPr>
    </w:p>
    <w:p w:rsidR="00B460E6" w:rsidRPr="00B41EF6" w:rsidRDefault="00B460E6" w:rsidP="00B41EF6">
      <w:pPr>
        <w:tabs>
          <w:tab w:val="left" w:pos="927"/>
        </w:tabs>
        <w:rPr>
          <w:lang w:val="fr-FR"/>
        </w:rPr>
      </w:pPr>
    </w:p>
    <w:sectPr w:rsidR="00B460E6" w:rsidRPr="00B41EF6" w:rsidSect="00757561">
      <w:footerReference w:type="default" r:id="rId49"/>
      <w:pgSz w:w="12240" w:h="15840" w:code="1"/>
      <w:pgMar w:top="0" w:right="1440" w:bottom="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8F" w:rsidRDefault="00902D8F">
      <w:r>
        <w:separator/>
      </w:r>
    </w:p>
  </w:endnote>
  <w:endnote w:type="continuationSeparator" w:id="0">
    <w:p w:rsidR="00902D8F" w:rsidRDefault="0090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Helvetica"/>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panose1 w:val="00000000000000000000"/>
    <w:charset w:val="0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99" w:rsidRPr="00E752F2" w:rsidRDefault="00E25099">
    <w:pPr>
      <w:pStyle w:val="Footer"/>
      <w:rPr>
        <w:i w:val="0"/>
        <w:sz w:val="20"/>
      </w:rPr>
    </w:pPr>
  </w:p>
  <w:p w:rsidR="00E25099" w:rsidRDefault="00E25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99" w:rsidRDefault="00E25099">
    <w:pPr>
      <w:pStyle w:val="Footer"/>
    </w:pPr>
    <w:r w:rsidRPr="00E752F2">
      <w:rPr>
        <w:i w:val="0"/>
        <w:sz w:val="20"/>
      </w:rPr>
      <w:fldChar w:fldCharType="begin"/>
    </w:r>
    <w:r w:rsidRPr="00E752F2">
      <w:rPr>
        <w:sz w:val="20"/>
      </w:rPr>
      <w:instrText xml:space="preserve"> PAGE   \* MERGEFORMAT </w:instrText>
    </w:r>
    <w:r w:rsidRPr="00E752F2">
      <w:rPr>
        <w:i w:val="0"/>
        <w:sz w:val="20"/>
      </w:rPr>
      <w:fldChar w:fldCharType="separate"/>
    </w:r>
    <w:r>
      <w:rPr>
        <w:noProof/>
        <w:sz w:val="20"/>
      </w:rPr>
      <w:t>ii</w:t>
    </w:r>
    <w:r w:rsidRPr="00E752F2">
      <w:rPr>
        <w:i w:val="0"/>
        <w:sz w:val="20"/>
      </w:rPr>
      <w:fldChar w:fldCharType="end"/>
    </w:r>
  </w:p>
  <w:p w:rsidR="00E25099" w:rsidRDefault="00E250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99" w:rsidRPr="003100CE" w:rsidRDefault="00E25099">
    <w:pPr>
      <w:pStyle w:val="Footer"/>
      <w:rPr>
        <w:i w:val="0"/>
        <w:sz w:val="20"/>
      </w:rPr>
    </w:pPr>
    <w:r w:rsidRPr="003100CE">
      <w:rPr>
        <w:i w:val="0"/>
        <w:sz w:val="20"/>
      </w:rPr>
      <w:fldChar w:fldCharType="begin"/>
    </w:r>
    <w:r w:rsidRPr="003100CE">
      <w:rPr>
        <w:sz w:val="20"/>
      </w:rPr>
      <w:instrText xml:space="preserve"> PAGE   \* MERGEFORMAT </w:instrText>
    </w:r>
    <w:r w:rsidRPr="003100CE">
      <w:rPr>
        <w:i w:val="0"/>
        <w:sz w:val="20"/>
      </w:rPr>
      <w:fldChar w:fldCharType="separate"/>
    </w:r>
    <w:r w:rsidR="00CE27EE" w:rsidRPr="00CE27EE">
      <w:rPr>
        <w:i w:val="0"/>
        <w:noProof/>
        <w:sz w:val="20"/>
      </w:rPr>
      <w:t>vi</w:t>
    </w:r>
    <w:r w:rsidRPr="003100CE">
      <w:rPr>
        <w:i w:val="0"/>
        <w:sz w:val="20"/>
      </w:rPr>
      <w:fldChar w:fldCharType="end"/>
    </w:r>
  </w:p>
  <w:p w:rsidR="00E25099" w:rsidRDefault="00E250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99" w:rsidRPr="00606D1D" w:rsidRDefault="00E25099" w:rsidP="00606D1D">
    <w:pPr>
      <w:pStyle w:val="Footer"/>
      <w:rPr>
        <w:i w:val="0"/>
        <w:sz w:val="20"/>
      </w:rPr>
    </w:pPr>
    <w:r w:rsidRPr="003100CE">
      <w:rPr>
        <w:i w:val="0"/>
        <w:sz w:val="20"/>
      </w:rPr>
      <w:fldChar w:fldCharType="begin"/>
    </w:r>
    <w:r w:rsidRPr="003100CE">
      <w:rPr>
        <w:sz w:val="20"/>
      </w:rPr>
      <w:instrText xml:space="preserve"> PAGE   \* MERGEFORMAT </w:instrText>
    </w:r>
    <w:r w:rsidRPr="003100CE">
      <w:rPr>
        <w:i w:val="0"/>
        <w:sz w:val="20"/>
      </w:rPr>
      <w:fldChar w:fldCharType="separate"/>
    </w:r>
    <w:r w:rsidR="00CE27EE" w:rsidRPr="00CE27EE">
      <w:rPr>
        <w:i w:val="0"/>
        <w:noProof/>
        <w:sz w:val="20"/>
      </w:rPr>
      <w:t>12</w:t>
    </w:r>
    <w:r w:rsidRPr="003100CE">
      <w:rPr>
        <w:i w:val="0"/>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99" w:rsidRPr="00606D1D" w:rsidRDefault="00E25099" w:rsidP="00606D1D">
    <w:pPr>
      <w:pStyle w:val="Footer"/>
      <w:rPr>
        <w:i w:val="0"/>
        <w:sz w:val="20"/>
      </w:rPr>
    </w:pPr>
    <w:r>
      <w:rPr>
        <w:i w:val="0"/>
        <w:sz w:val="20"/>
      </w:rPr>
      <w:t>A-</w:t>
    </w:r>
    <w:r w:rsidRPr="003100CE">
      <w:rPr>
        <w:i w:val="0"/>
        <w:sz w:val="20"/>
      </w:rPr>
      <w:fldChar w:fldCharType="begin"/>
    </w:r>
    <w:r w:rsidRPr="003100CE">
      <w:rPr>
        <w:sz w:val="20"/>
      </w:rPr>
      <w:instrText xml:space="preserve"> PAGE   \* MERGEFORMAT </w:instrText>
    </w:r>
    <w:r w:rsidRPr="003100CE">
      <w:rPr>
        <w:i w:val="0"/>
        <w:sz w:val="20"/>
      </w:rPr>
      <w:fldChar w:fldCharType="separate"/>
    </w:r>
    <w:r w:rsidR="00CE27EE" w:rsidRPr="00CE27EE">
      <w:rPr>
        <w:i w:val="0"/>
        <w:noProof/>
        <w:sz w:val="20"/>
      </w:rPr>
      <w:t>2</w:t>
    </w:r>
    <w:r w:rsidRPr="003100CE">
      <w:rPr>
        <w:i w:val="0"/>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99" w:rsidRPr="00606D1D" w:rsidRDefault="00E25099" w:rsidP="00EF2DD1">
    <w:pPr>
      <w:pStyle w:val="Footer"/>
      <w:rPr>
        <w:i w:val="0"/>
        <w:sz w:val="20"/>
      </w:rPr>
    </w:pPr>
    <w:r>
      <w:rPr>
        <w:i w:val="0"/>
        <w:sz w:val="20"/>
      </w:rPr>
      <w:t>B-</w:t>
    </w:r>
    <w:r w:rsidRPr="003100CE">
      <w:rPr>
        <w:i w:val="0"/>
        <w:sz w:val="20"/>
      </w:rPr>
      <w:fldChar w:fldCharType="begin"/>
    </w:r>
    <w:r w:rsidRPr="003100CE">
      <w:rPr>
        <w:sz w:val="20"/>
      </w:rPr>
      <w:instrText xml:space="preserve"> PAGE   \* MERGEFORMAT </w:instrText>
    </w:r>
    <w:r w:rsidRPr="003100CE">
      <w:rPr>
        <w:i w:val="0"/>
        <w:sz w:val="20"/>
      </w:rPr>
      <w:fldChar w:fldCharType="separate"/>
    </w:r>
    <w:r w:rsidR="00CE27EE" w:rsidRPr="00CE27EE">
      <w:rPr>
        <w:i w:val="0"/>
        <w:noProof/>
        <w:sz w:val="20"/>
      </w:rPr>
      <w:t>2</w:t>
    </w:r>
    <w:r w:rsidRPr="003100CE">
      <w:rPr>
        <w:i w:val="0"/>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99" w:rsidRPr="00606D1D" w:rsidRDefault="00E25099" w:rsidP="00EF2DD1">
    <w:pPr>
      <w:pStyle w:val="Footer"/>
      <w:rPr>
        <w:i w:val="0"/>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99" w:rsidRPr="00606D1D" w:rsidRDefault="00E25099" w:rsidP="00606D1D">
    <w:pPr>
      <w:pStyle w:val="Footer"/>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8F" w:rsidRDefault="00902D8F">
      <w:r>
        <w:separator/>
      </w:r>
    </w:p>
  </w:footnote>
  <w:footnote w:type="continuationSeparator" w:id="0">
    <w:p w:rsidR="00902D8F" w:rsidRDefault="00902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99" w:rsidRDefault="00E25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99" w:rsidRDefault="00E25099" w:rsidP="007F3F0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99" w:rsidRDefault="00E2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E22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01E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AC73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7066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28CE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E61D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6263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E45F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B46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8D38"/>
    <w:lvl w:ilvl="0">
      <w:start w:val="1"/>
      <w:numFmt w:val="bullet"/>
      <w:pStyle w:val="ListBullet"/>
      <w:lvlText w:val=""/>
      <w:lvlJc w:val="left"/>
      <w:pPr>
        <w:tabs>
          <w:tab w:val="num" w:pos="2610"/>
        </w:tabs>
        <w:ind w:left="2610" w:hanging="360"/>
      </w:pPr>
      <w:rPr>
        <w:rFonts w:ascii="Symbol" w:hAnsi="Symbol" w:hint="default"/>
        <w:b w:val="0"/>
        <w:i w:val="0"/>
        <w:color w:val="auto"/>
        <w:sz w:val="24"/>
        <w:szCs w:val="24"/>
      </w:rPr>
    </w:lvl>
  </w:abstractNum>
  <w:abstractNum w:abstractNumId="10" w15:restartNumberingAfterBreak="0">
    <w:nsid w:val="04071CCE"/>
    <w:multiLevelType w:val="hybridMultilevel"/>
    <w:tmpl w:val="F440EF7E"/>
    <w:lvl w:ilvl="0" w:tplc="C17AED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A3F5239"/>
    <w:multiLevelType w:val="singleLevel"/>
    <w:tmpl w:val="7A6CF19E"/>
    <w:lvl w:ilvl="0">
      <w:start w:val="1"/>
      <w:numFmt w:val="decimal"/>
      <w:pStyle w:val="Numberlisting"/>
      <w:lvlText w:val="%1."/>
      <w:lvlJc w:val="left"/>
      <w:pPr>
        <w:tabs>
          <w:tab w:val="num" w:pos="360"/>
        </w:tabs>
        <w:ind w:left="720" w:hanging="360"/>
      </w:pPr>
      <w:rPr>
        <w:rFonts w:hint="default"/>
      </w:rPr>
    </w:lvl>
  </w:abstractNum>
  <w:abstractNum w:abstractNumId="12" w15:restartNumberingAfterBreak="0">
    <w:nsid w:val="0FE56BE1"/>
    <w:multiLevelType w:val="hybridMultilevel"/>
    <w:tmpl w:val="0A70E8D4"/>
    <w:lvl w:ilvl="0" w:tplc="1C2AC69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D364E"/>
    <w:multiLevelType w:val="hybridMultilevel"/>
    <w:tmpl w:val="695ECF68"/>
    <w:lvl w:ilvl="0" w:tplc="D034F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C26C3"/>
    <w:multiLevelType w:val="hybridMultilevel"/>
    <w:tmpl w:val="A0D24660"/>
    <w:lvl w:ilvl="0" w:tplc="1C2AC69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839B3"/>
    <w:multiLevelType w:val="hybridMultilevel"/>
    <w:tmpl w:val="A9C42E9C"/>
    <w:lvl w:ilvl="0" w:tplc="150CEA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52690"/>
    <w:multiLevelType w:val="hybridMultilevel"/>
    <w:tmpl w:val="4A68FD46"/>
    <w:lvl w:ilvl="0" w:tplc="D36436B6">
      <w:start w:val="1"/>
      <w:numFmt w:val="bullet"/>
      <w:lvlText w:val="-"/>
      <w:lvlJc w:val="left"/>
      <w:pPr>
        <w:tabs>
          <w:tab w:val="num" w:pos="720"/>
        </w:tabs>
        <w:ind w:left="720" w:hanging="360"/>
      </w:pPr>
      <w:rPr>
        <w:rFonts w:ascii="Courier New" w:hAnsi="Courier New" w:hint="default"/>
      </w:rPr>
    </w:lvl>
    <w:lvl w:ilvl="1" w:tplc="DF8A2E04">
      <w:start w:val="1"/>
      <w:numFmt w:val="bullet"/>
      <w:pStyle w:val="GFSBulletList1"/>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F25A56"/>
    <w:multiLevelType w:val="multilevel"/>
    <w:tmpl w:val="F148ED54"/>
    <w:lvl w:ilvl="0">
      <w:start w:val="1"/>
      <w:numFmt w:val="decimal"/>
      <w:pStyle w:val="Heading1"/>
      <w:lvlText w:val="%1"/>
      <w:lvlJc w:val="left"/>
      <w:pPr>
        <w:ind w:left="2142" w:hanging="432"/>
      </w:pPr>
      <w:rPr>
        <w:rFonts w:ascii="Times New Roman" w:hAnsi="Times New Roman" w:cs="Times New Roman" w:hint="default"/>
        <w:sz w:val="24"/>
        <w:szCs w:val="24"/>
      </w:rPr>
    </w:lvl>
    <w:lvl w:ilvl="1">
      <w:start w:val="1"/>
      <w:numFmt w:val="decimal"/>
      <w:pStyle w:val="Heading2"/>
      <w:lvlText w:val="%1.%2"/>
      <w:lvlJc w:val="left"/>
      <w:pPr>
        <w:ind w:left="4266" w:hanging="576"/>
      </w:pPr>
      <w:rPr>
        <w:rFonts w:ascii="Times New Roman" w:hAnsi="Times New Roman" w:cs="Times New Roman" w:hint="default"/>
        <w:i w:val="0"/>
        <w:sz w:val="24"/>
        <w:szCs w:val="24"/>
      </w:rPr>
    </w:lvl>
    <w:lvl w:ilvl="2">
      <w:start w:val="1"/>
      <w:numFmt w:val="decimal"/>
      <w:pStyle w:val="Heading3"/>
      <w:lvlText w:val="%1.%2.%3"/>
      <w:lvlJc w:val="left"/>
      <w:pPr>
        <w:ind w:left="4050" w:hanging="720"/>
      </w:pPr>
      <w:rPr>
        <w:rFonts w:ascii="CG Times" w:hAnsi="CG Times" w:hint="default"/>
        <w:b/>
        <w:i w:val="0"/>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7791843"/>
    <w:multiLevelType w:val="hybridMultilevel"/>
    <w:tmpl w:val="07FA4D7E"/>
    <w:lvl w:ilvl="0" w:tplc="37B45604">
      <w:start w:val="1"/>
      <w:numFmt w:val="bullet"/>
      <w:lvlText w:val=""/>
      <w:lvlJc w:val="left"/>
      <w:pPr>
        <w:tabs>
          <w:tab w:val="num" w:pos="1379"/>
        </w:tabs>
        <w:ind w:left="1379"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8548A0"/>
    <w:multiLevelType w:val="multilevel"/>
    <w:tmpl w:val="0409001F"/>
    <w:styleLink w:val="ArgonneNumberingStyle"/>
    <w:lvl w:ilvl="0">
      <w:start w:val="1"/>
      <w:numFmt w:val="decimal"/>
      <w:lvlText w:val="%1"/>
      <w:lvlJc w:val="left"/>
      <w:pPr>
        <w:ind w:left="360" w:hanging="360"/>
      </w:pPr>
      <w:rPr>
        <w:rFonts w:ascii="Times New Roman" w:hAnsi="Times New Roman" w:hint="default"/>
        <w:b/>
        <w:color w:val="auto"/>
        <w:sz w:val="24"/>
      </w:rPr>
    </w:lvl>
    <w:lvl w:ilvl="1">
      <w:start w:val="1"/>
      <w:numFmt w:val="decimal"/>
      <w:lvlText w:val="%1.%2."/>
      <w:lvlJc w:val="left"/>
      <w:pPr>
        <w:ind w:left="432" w:hanging="432"/>
      </w:pPr>
      <w:rPr>
        <w:rFonts w:ascii="Times New Roman" w:hAnsi="Times New Roman"/>
        <w:b/>
        <w:sz w:val="24"/>
      </w:rPr>
    </w:lvl>
    <w:lvl w:ilvl="2">
      <w:start w:val="1"/>
      <w:numFmt w:val="decimal"/>
      <w:lvlText w:val="%1.%2.%3."/>
      <w:lvlJc w:val="left"/>
      <w:pPr>
        <w:ind w:left="504" w:hanging="504"/>
      </w:pPr>
      <w:rPr>
        <w:rFonts w:ascii="Times New Roman" w:hAnsi="Times New Roman"/>
        <w:b/>
        <w:sz w:val="24"/>
      </w:rPr>
    </w:lvl>
    <w:lvl w:ilvl="3">
      <w:start w:val="1"/>
      <w:numFmt w:val="decimal"/>
      <w:lvlText w:val="%1.%2.%3.%4."/>
      <w:lvlJc w:val="left"/>
      <w:pPr>
        <w:ind w:left="1368" w:hanging="648"/>
      </w:pPr>
      <w:rPr>
        <w:rFonts w:ascii="Times New Roman" w:hAnsi="Times New Roman"/>
        <w:b/>
        <w:i/>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0E4205"/>
    <w:multiLevelType w:val="hybridMultilevel"/>
    <w:tmpl w:val="028061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2245562"/>
    <w:multiLevelType w:val="hybridMultilevel"/>
    <w:tmpl w:val="9B5212E8"/>
    <w:lvl w:ilvl="0" w:tplc="8A0EDD2E">
      <w:start w:val="1"/>
      <w:numFmt w:val="bullet"/>
      <w:lvlText w:val=""/>
      <w:lvlJc w:val="left"/>
      <w:pPr>
        <w:tabs>
          <w:tab w:val="num" w:pos="144"/>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CA1B50"/>
    <w:multiLevelType w:val="hybridMultilevel"/>
    <w:tmpl w:val="EBDE6D10"/>
    <w:lvl w:ilvl="0" w:tplc="37B45604">
      <w:start w:val="1"/>
      <w:numFmt w:val="bullet"/>
      <w:lvlText w:val=""/>
      <w:lvlJc w:val="left"/>
      <w:pPr>
        <w:tabs>
          <w:tab w:val="num" w:pos="1379"/>
        </w:tabs>
        <w:ind w:left="1379"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FB2E07"/>
    <w:multiLevelType w:val="hybridMultilevel"/>
    <w:tmpl w:val="8A4C1A9A"/>
    <w:lvl w:ilvl="0" w:tplc="6EAC1A70">
      <w:start w:val="1"/>
      <w:numFmt w:val="bullet"/>
      <w:pStyle w:val="CIPBullets"/>
      <w:lvlText w:val=""/>
      <w:lvlJc w:val="left"/>
      <w:pPr>
        <w:tabs>
          <w:tab w:val="num" w:pos="619"/>
        </w:tabs>
        <w:ind w:left="648" w:hanging="288"/>
      </w:pPr>
      <w:rPr>
        <w:rFonts w:ascii="Wingdings" w:hAnsi="Wingdings" w:hint="default"/>
        <w:color w:val="auto"/>
        <w:sz w:val="12"/>
        <w:szCs w:val="12"/>
      </w:rPr>
    </w:lvl>
    <w:lvl w:ilvl="1" w:tplc="B1AC85F4">
      <w:start w:val="1"/>
      <w:numFmt w:val="bullet"/>
      <w:lvlText w:val=""/>
      <w:lvlJc w:val="left"/>
      <w:pPr>
        <w:tabs>
          <w:tab w:val="num" w:pos="1296"/>
        </w:tabs>
        <w:ind w:left="1296" w:hanging="216"/>
      </w:pPr>
      <w:rPr>
        <w:rFonts w:ascii="Wingdings" w:hAnsi="Wingdings" w:hint="default"/>
        <w:color w:val="7B5229"/>
        <w:sz w:val="28"/>
        <w:szCs w:val="1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2B31D9"/>
    <w:multiLevelType w:val="hybridMultilevel"/>
    <w:tmpl w:val="19B6A56A"/>
    <w:lvl w:ilvl="0" w:tplc="441A1EA2">
      <w:start w:val="1"/>
      <w:numFmt w:val="bullet"/>
      <w:pStyle w:val="Sub-Bullet"/>
      <w:lvlText w:val="▪"/>
      <w:lvlJc w:val="left"/>
      <w:pPr>
        <w:tabs>
          <w:tab w:val="num" w:pos="648"/>
        </w:tabs>
        <w:ind w:left="648" w:hanging="288"/>
      </w:pPr>
      <w:rPr>
        <w:rFonts w:ascii="Arial" w:hAnsi="Arial" w:hint="default"/>
        <w:color w:val="auto"/>
        <w:sz w:val="20"/>
      </w:rPr>
    </w:lvl>
    <w:lvl w:ilvl="1" w:tplc="04090003">
      <w:start w:val="1"/>
      <w:numFmt w:val="bullet"/>
      <w:lvlText w:val="o"/>
      <w:lvlJc w:val="left"/>
      <w:pPr>
        <w:tabs>
          <w:tab w:val="num" w:pos="1368"/>
        </w:tabs>
        <w:ind w:left="1368" w:hanging="360"/>
      </w:pPr>
      <w:rPr>
        <w:rFonts w:ascii="Courier New" w:hAnsi="Courier New" w:cs="Arial"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Arial"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Arial"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5" w15:restartNumberingAfterBreak="0">
    <w:nsid w:val="3E296A87"/>
    <w:multiLevelType w:val="hybridMultilevel"/>
    <w:tmpl w:val="D1B2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76BA7"/>
    <w:multiLevelType w:val="hybridMultilevel"/>
    <w:tmpl w:val="72405D92"/>
    <w:lvl w:ilvl="0" w:tplc="5C0E14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952C3"/>
    <w:multiLevelType w:val="multilevel"/>
    <w:tmpl w:val="9B5212E8"/>
    <w:lvl w:ilvl="0">
      <w:start w:val="1"/>
      <w:numFmt w:val="bullet"/>
      <w:lvlText w:val=""/>
      <w:lvlJc w:val="left"/>
      <w:pPr>
        <w:tabs>
          <w:tab w:val="num" w:pos="144"/>
        </w:tabs>
        <w:ind w:left="360"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D21A30"/>
    <w:multiLevelType w:val="hybridMultilevel"/>
    <w:tmpl w:val="51AE1946"/>
    <w:lvl w:ilvl="0" w:tplc="CB5AB5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D84604"/>
    <w:multiLevelType w:val="hybridMultilevel"/>
    <w:tmpl w:val="7F880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A530DBD"/>
    <w:multiLevelType w:val="hybridMultilevel"/>
    <w:tmpl w:val="E6E6C000"/>
    <w:lvl w:ilvl="0" w:tplc="D618DE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F16E5C"/>
    <w:multiLevelType w:val="hybridMultilevel"/>
    <w:tmpl w:val="37E4903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DF26612"/>
    <w:multiLevelType w:val="multilevel"/>
    <w:tmpl w:val="0409001F"/>
    <w:numStyleLink w:val="ArgonneNumberingStyle"/>
  </w:abstractNum>
  <w:abstractNum w:abstractNumId="33" w15:restartNumberingAfterBreak="0">
    <w:nsid w:val="5E2326D0"/>
    <w:multiLevelType w:val="hybridMultilevel"/>
    <w:tmpl w:val="41163DEC"/>
    <w:lvl w:ilvl="0" w:tplc="37B45604">
      <w:start w:val="1"/>
      <w:numFmt w:val="bullet"/>
      <w:lvlText w:val=""/>
      <w:lvlJc w:val="left"/>
      <w:pPr>
        <w:tabs>
          <w:tab w:val="num" w:pos="1379"/>
        </w:tabs>
        <w:ind w:left="1379"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D904AE"/>
    <w:multiLevelType w:val="hybridMultilevel"/>
    <w:tmpl w:val="721E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E1189"/>
    <w:multiLevelType w:val="hybridMultilevel"/>
    <w:tmpl w:val="DFCE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63870"/>
    <w:multiLevelType w:val="hybridMultilevel"/>
    <w:tmpl w:val="CA2C7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D091B87"/>
    <w:multiLevelType w:val="hybridMultilevel"/>
    <w:tmpl w:val="A41A0970"/>
    <w:lvl w:ilvl="0" w:tplc="24FC48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6"/>
  </w:num>
  <w:num w:numId="3">
    <w:abstractNumId w:val="9"/>
  </w:num>
  <w:num w:numId="4">
    <w:abstractNumId w:val="9"/>
  </w:num>
  <w:num w:numId="5">
    <w:abstractNumId w:val="11"/>
  </w:num>
  <w:num w:numId="6">
    <w:abstractNumId w:val="24"/>
  </w:num>
  <w:num w:numId="7">
    <w:abstractNumId w:val="15"/>
  </w:num>
  <w:num w:numId="8">
    <w:abstractNumId w:val="28"/>
  </w:num>
  <w:num w:numId="9">
    <w:abstractNumId w:val="36"/>
  </w:num>
  <w:num w:numId="10">
    <w:abstractNumId w:val="29"/>
  </w:num>
  <w:num w:numId="11">
    <w:abstractNumId w:val="20"/>
  </w:num>
  <w:num w:numId="12">
    <w:abstractNumId w:val="33"/>
  </w:num>
  <w:num w:numId="13">
    <w:abstractNumId w:val="22"/>
  </w:num>
  <w:num w:numId="14">
    <w:abstractNumId w:val="18"/>
  </w:num>
  <w:num w:numId="15">
    <w:abstractNumId w:val="31"/>
  </w:num>
  <w:num w:numId="16">
    <w:abstractNumId w:val="1"/>
  </w:num>
  <w:num w:numId="17">
    <w:abstractNumId w:val="0"/>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21"/>
  </w:num>
  <w:num w:numId="26">
    <w:abstractNumId w:val="27"/>
  </w:num>
  <w:num w:numId="27">
    <w:abstractNumId w:val="37"/>
  </w:num>
  <w:num w:numId="28">
    <w:abstractNumId w:val="35"/>
  </w:num>
  <w:num w:numId="29">
    <w:abstractNumId w:val="17"/>
  </w:num>
  <w:num w:numId="30">
    <w:abstractNumId w:val="19"/>
  </w:num>
  <w:num w:numId="31">
    <w:abstractNumId w:val="32"/>
  </w:num>
  <w:num w:numId="32">
    <w:abstractNumId w:val="25"/>
  </w:num>
  <w:num w:numId="33">
    <w:abstractNumId w:val="30"/>
  </w:num>
  <w:num w:numId="34">
    <w:abstractNumId w:val="26"/>
  </w:num>
  <w:num w:numId="35">
    <w:abstractNumId w:val="12"/>
  </w:num>
  <w:num w:numId="36">
    <w:abstractNumId w:val="10"/>
  </w:num>
  <w:num w:numId="37">
    <w:abstractNumId w:val="34"/>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73"/>
    <w:rsid w:val="000027CB"/>
    <w:rsid w:val="000056C0"/>
    <w:rsid w:val="0001184F"/>
    <w:rsid w:val="00014E15"/>
    <w:rsid w:val="00017F5A"/>
    <w:rsid w:val="00031A21"/>
    <w:rsid w:val="00031A50"/>
    <w:rsid w:val="00036F7B"/>
    <w:rsid w:val="00040581"/>
    <w:rsid w:val="00043E63"/>
    <w:rsid w:val="00047F51"/>
    <w:rsid w:val="000563BF"/>
    <w:rsid w:val="00056C0A"/>
    <w:rsid w:val="00064BEB"/>
    <w:rsid w:val="0008079D"/>
    <w:rsid w:val="00086590"/>
    <w:rsid w:val="000939AE"/>
    <w:rsid w:val="000B1A66"/>
    <w:rsid w:val="000B664D"/>
    <w:rsid w:val="000C15D1"/>
    <w:rsid w:val="000C2A78"/>
    <w:rsid w:val="000C4625"/>
    <w:rsid w:val="000E21B4"/>
    <w:rsid w:val="000E2908"/>
    <w:rsid w:val="000E6E93"/>
    <w:rsid w:val="000F0A72"/>
    <w:rsid w:val="000F421F"/>
    <w:rsid w:val="000F4CE0"/>
    <w:rsid w:val="000F786D"/>
    <w:rsid w:val="00112403"/>
    <w:rsid w:val="00114C59"/>
    <w:rsid w:val="001160B2"/>
    <w:rsid w:val="001171DF"/>
    <w:rsid w:val="0012335D"/>
    <w:rsid w:val="0012449D"/>
    <w:rsid w:val="00124F6C"/>
    <w:rsid w:val="00127158"/>
    <w:rsid w:val="00127B87"/>
    <w:rsid w:val="00131646"/>
    <w:rsid w:val="00131AB2"/>
    <w:rsid w:val="00132611"/>
    <w:rsid w:val="00135643"/>
    <w:rsid w:val="00135C89"/>
    <w:rsid w:val="00142282"/>
    <w:rsid w:val="00143E17"/>
    <w:rsid w:val="00144B1C"/>
    <w:rsid w:val="0015101C"/>
    <w:rsid w:val="00155DF2"/>
    <w:rsid w:val="0015724C"/>
    <w:rsid w:val="00172A01"/>
    <w:rsid w:val="001739E1"/>
    <w:rsid w:val="001747B4"/>
    <w:rsid w:val="00182128"/>
    <w:rsid w:val="00183847"/>
    <w:rsid w:val="001842BE"/>
    <w:rsid w:val="00185789"/>
    <w:rsid w:val="001877CD"/>
    <w:rsid w:val="00191233"/>
    <w:rsid w:val="00193EAA"/>
    <w:rsid w:val="00197F48"/>
    <w:rsid w:val="001A6720"/>
    <w:rsid w:val="001B1067"/>
    <w:rsid w:val="001B141A"/>
    <w:rsid w:val="001B56B6"/>
    <w:rsid w:val="001B62FC"/>
    <w:rsid w:val="001B7DA2"/>
    <w:rsid w:val="001C1ED9"/>
    <w:rsid w:val="001D0AC9"/>
    <w:rsid w:val="001D18A3"/>
    <w:rsid w:val="001D3A46"/>
    <w:rsid w:val="001D54E4"/>
    <w:rsid w:val="001E23DB"/>
    <w:rsid w:val="001E5ACE"/>
    <w:rsid w:val="001F1571"/>
    <w:rsid w:val="001F6B73"/>
    <w:rsid w:val="00200F4E"/>
    <w:rsid w:val="00203015"/>
    <w:rsid w:val="00203C11"/>
    <w:rsid w:val="00204DF1"/>
    <w:rsid w:val="00205276"/>
    <w:rsid w:val="00207B68"/>
    <w:rsid w:val="002104A3"/>
    <w:rsid w:val="00217F9F"/>
    <w:rsid w:val="0022545C"/>
    <w:rsid w:val="00227EFE"/>
    <w:rsid w:val="002305A1"/>
    <w:rsid w:val="00231AE3"/>
    <w:rsid w:val="00232359"/>
    <w:rsid w:val="00233192"/>
    <w:rsid w:val="00234131"/>
    <w:rsid w:val="00234D6C"/>
    <w:rsid w:val="00242DDE"/>
    <w:rsid w:val="00243848"/>
    <w:rsid w:val="00243EC7"/>
    <w:rsid w:val="00253B16"/>
    <w:rsid w:val="00257451"/>
    <w:rsid w:val="002574F1"/>
    <w:rsid w:val="0026101D"/>
    <w:rsid w:val="00274CCF"/>
    <w:rsid w:val="00280A7C"/>
    <w:rsid w:val="00280B54"/>
    <w:rsid w:val="002852FF"/>
    <w:rsid w:val="002871DB"/>
    <w:rsid w:val="00287E9C"/>
    <w:rsid w:val="002A5412"/>
    <w:rsid w:val="002A6147"/>
    <w:rsid w:val="002B0B48"/>
    <w:rsid w:val="002B2478"/>
    <w:rsid w:val="002B4B12"/>
    <w:rsid w:val="002B6E62"/>
    <w:rsid w:val="002B7B21"/>
    <w:rsid w:val="002B7B99"/>
    <w:rsid w:val="002C01D6"/>
    <w:rsid w:val="002C194B"/>
    <w:rsid w:val="002C1ED6"/>
    <w:rsid w:val="002C241E"/>
    <w:rsid w:val="002C368C"/>
    <w:rsid w:val="002D5E14"/>
    <w:rsid w:val="002E532B"/>
    <w:rsid w:val="002F25E7"/>
    <w:rsid w:val="003023EC"/>
    <w:rsid w:val="003029E7"/>
    <w:rsid w:val="00303B88"/>
    <w:rsid w:val="00304D35"/>
    <w:rsid w:val="00306964"/>
    <w:rsid w:val="003100CE"/>
    <w:rsid w:val="00320435"/>
    <w:rsid w:val="00321D9C"/>
    <w:rsid w:val="00322EDA"/>
    <w:rsid w:val="003248C6"/>
    <w:rsid w:val="00324BB2"/>
    <w:rsid w:val="00326E22"/>
    <w:rsid w:val="00337713"/>
    <w:rsid w:val="00340745"/>
    <w:rsid w:val="00341CCB"/>
    <w:rsid w:val="0034205D"/>
    <w:rsid w:val="00347DAA"/>
    <w:rsid w:val="0035330B"/>
    <w:rsid w:val="003540CF"/>
    <w:rsid w:val="00354CD3"/>
    <w:rsid w:val="00365A22"/>
    <w:rsid w:val="003758FE"/>
    <w:rsid w:val="00375E27"/>
    <w:rsid w:val="003806C8"/>
    <w:rsid w:val="003928E4"/>
    <w:rsid w:val="003944F0"/>
    <w:rsid w:val="003A0F63"/>
    <w:rsid w:val="003A1BC3"/>
    <w:rsid w:val="003A33D8"/>
    <w:rsid w:val="003A39EA"/>
    <w:rsid w:val="003A73B3"/>
    <w:rsid w:val="003A7615"/>
    <w:rsid w:val="003B1008"/>
    <w:rsid w:val="003B1CDB"/>
    <w:rsid w:val="003B5F0C"/>
    <w:rsid w:val="003B75E9"/>
    <w:rsid w:val="003C1CC6"/>
    <w:rsid w:val="003C6F81"/>
    <w:rsid w:val="003C7FB9"/>
    <w:rsid w:val="003D3CD8"/>
    <w:rsid w:val="003D73CB"/>
    <w:rsid w:val="003F0C87"/>
    <w:rsid w:val="003F1FDA"/>
    <w:rsid w:val="003F7821"/>
    <w:rsid w:val="00411158"/>
    <w:rsid w:val="00422193"/>
    <w:rsid w:val="004246A9"/>
    <w:rsid w:val="00425ED7"/>
    <w:rsid w:val="00426383"/>
    <w:rsid w:val="00430BAC"/>
    <w:rsid w:val="004330E9"/>
    <w:rsid w:val="0043541E"/>
    <w:rsid w:val="0043659E"/>
    <w:rsid w:val="00436E8D"/>
    <w:rsid w:val="00437492"/>
    <w:rsid w:val="00444383"/>
    <w:rsid w:val="0044441E"/>
    <w:rsid w:val="0045245A"/>
    <w:rsid w:val="0046176C"/>
    <w:rsid w:val="00462C98"/>
    <w:rsid w:val="00463479"/>
    <w:rsid w:val="004663F1"/>
    <w:rsid w:val="004749B8"/>
    <w:rsid w:val="00475C68"/>
    <w:rsid w:val="00475ECB"/>
    <w:rsid w:val="00480374"/>
    <w:rsid w:val="0048073F"/>
    <w:rsid w:val="00487538"/>
    <w:rsid w:val="0048797E"/>
    <w:rsid w:val="00490637"/>
    <w:rsid w:val="00493DD3"/>
    <w:rsid w:val="004A0C65"/>
    <w:rsid w:val="004A5272"/>
    <w:rsid w:val="004A7D30"/>
    <w:rsid w:val="004B1B4F"/>
    <w:rsid w:val="004C0D66"/>
    <w:rsid w:val="004C1949"/>
    <w:rsid w:val="004C1BBD"/>
    <w:rsid w:val="004C5DC1"/>
    <w:rsid w:val="004C6807"/>
    <w:rsid w:val="004D5CD1"/>
    <w:rsid w:val="004E57E6"/>
    <w:rsid w:val="004E616F"/>
    <w:rsid w:val="004E66A7"/>
    <w:rsid w:val="005010B4"/>
    <w:rsid w:val="005024E0"/>
    <w:rsid w:val="005049A9"/>
    <w:rsid w:val="00516C1D"/>
    <w:rsid w:val="00517364"/>
    <w:rsid w:val="005225FD"/>
    <w:rsid w:val="005261F8"/>
    <w:rsid w:val="005405FA"/>
    <w:rsid w:val="005436EC"/>
    <w:rsid w:val="005441DE"/>
    <w:rsid w:val="005442F7"/>
    <w:rsid w:val="0055574E"/>
    <w:rsid w:val="005560EF"/>
    <w:rsid w:val="0056037B"/>
    <w:rsid w:val="0056156D"/>
    <w:rsid w:val="00572EE6"/>
    <w:rsid w:val="00575DBE"/>
    <w:rsid w:val="005802AA"/>
    <w:rsid w:val="005843ED"/>
    <w:rsid w:val="00587030"/>
    <w:rsid w:val="00594024"/>
    <w:rsid w:val="00595DD6"/>
    <w:rsid w:val="005A131A"/>
    <w:rsid w:val="005A5891"/>
    <w:rsid w:val="005B07C7"/>
    <w:rsid w:val="005D7C87"/>
    <w:rsid w:val="005E01E9"/>
    <w:rsid w:val="005E037A"/>
    <w:rsid w:val="005E117D"/>
    <w:rsid w:val="005E2DF3"/>
    <w:rsid w:val="005E3432"/>
    <w:rsid w:val="005E7ADE"/>
    <w:rsid w:val="005F094A"/>
    <w:rsid w:val="005F0F26"/>
    <w:rsid w:val="005F3002"/>
    <w:rsid w:val="005F3C98"/>
    <w:rsid w:val="00606D1D"/>
    <w:rsid w:val="00607FB2"/>
    <w:rsid w:val="0061684B"/>
    <w:rsid w:val="00617B4B"/>
    <w:rsid w:val="00620791"/>
    <w:rsid w:val="00621169"/>
    <w:rsid w:val="006219B4"/>
    <w:rsid w:val="00621B09"/>
    <w:rsid w:val="00624825"/>
    <w:rsid w:val="00627921"/>
    <w:rsid w:val="00636849"/>
    <w:rsid w:val="00640A56"/>
    <w:rsid w:val="00646483"/>
    <w:rsid w:val="00650239"/>
    <w:rsid w:val="00656541"/>
    <w:rsid w:val="00660912"/>
    <w:rsid w:val="00662BC6"/>
    <w:rsid w:val="00664817"/>
    <w:rsid w:val="00665179"/>
    <w:rsid w:val="006657E8"/>
    <w:rsid w:val="00670D0B"/>
    <w:rsid w:val="006852C1"/>
    <w:rsid w:val="0069437D"/>
    <w:rsid w:val="00695FBA"/>
    <w:rsid w:val="006A198F"/>
    <w:rsid w:val="006A4EB2"/>
    <w:rsid w:val="006A6C7E"/>
    <w:rsid w:val="006A70D9"/>
    <w:rsid w:val="006B16C2"/>
    <w:rsid w:val="006B4476"/>
    <w:rsid w:val="006B5047"/>
    <w:rsid w:val="006B673C"/>
    <w:rsid w:val="006C279B"/>
    <w:rsid w:val="006C77BC"/>
    <w:rsid w:val="006D06D5"/>
    <w:rsid w:val="006D6305"/>
    <w:rsid w:val="006D6360"/>
    <w:rsid w:val="006D6BC5"/>
    <w:rsid w:val="006E2D7A"/>
    <w:rsid w:val="006E5CA6"/>
    <w:rsid w:val="006F01B6"/>
    <w:rsid w:val="006F2E02"/>
    <w:rsid w:val="006F2E99"/>
    <w:rsid w:val="006F6F62"/>
    <w:rsid w:val="007073CE"/>
    <w:rsid w:val="0071053C"/>
    <w:rsid w:val="00712745"/>
    <w:rsid w:val="0072626F"/>
    <w:rsid w:val="00727CC2"/>
    <w:rsid w:val="007301F3"/>
    <w:rsid w:val="00732C20"/>
    <w:rsid w:val="00733D0E"/>
    <w:rsid w:val="00733F24"/>
    <w:rsid w:val="0074470C"/>
    <w:rsid w:val="0074495A"/>
    <w:rsid w:val="00750CC3"/>
    <w:rsid w:val="00752CA6"/>
    <w:rsid w:val="00757561"/>
    <w:rsid w:val="00762DC9"/>
    <w:rsid w:val="00766634"/>
    <w:rsid w:val="00766BA2"/>
    <w:rsid w:val="007723A0"/>
    <w:rsid w:val="00773868"/>
    <w:rsid w:val="00781BC2"/>
    <w:rsid w:val="00782227"/>
    <w:rsid w:val="00782BDF"/>
    <w:rsid w:val="00784C13"/>
    <w:rsid w:val="0079280E"/>
    <w:rsid w:val="00792CAF"/>
    <w:rsid w:val="00792D97"/>
    <w:rsid w:val="007B674F"/>
    <w:rsid w:val="007C01A5"/>
    <w:rsid w:val="007C02B3"/>
    <w:rsid w:val="007C05B8"/>
    <w:rsid w:val="007C3534"/>
    <w:rsid w:val="007C4103"/>
    <w:rsid w:val="007C5D00"/>
    <w:rsid w:val="007D23AB"/>
    <w:rsid w:val="007D260E"/>
    <w:rsid w:val="007D73F0"/>
    <w:rsid w:val="007E38FC"/>
    <w:rsid w:val="007E7C7C"/>
    <w:rsid w:val="007F057C"/>
    <w:rsid w:val="007F268E"/>
    <w:rsid w:val="007F3F08"/>
    <w:rsid w:val="007F61BC"/>
    <w:rsid w:val="007F64B0"/>
    <w:rsid w:val="00803F6A"/>
    <w:rsid w:val="00805191"/>
    <w:rsid w:val="0082367B"/>
    <w:rsid w:val="0082598F"/>
    <w:rsid w:val="00836019"/>
    <w:rsid w:val="0084105D"/>
    <w:rsid w:val="008474F9"/>
    <w:rsid w:val="008640C9"/>
    <w:rsid w:val="008717DE"/>
    <w:rsid w:val="00876B30"/>
    <w:rsid w:val="008775B3"/>
    <w:rsid w:val="00877725"/>
    <w:rsid w:val="00892048"/>
    <w:rsid w:val="00895363"/>
    <w:rsid w:val="008A23A4"/>
    <w:rsid w:val="008A2766"/>
    <w:rsid w:val="008B2F25"/>
    <w:rsid w:val="008C3AAE"/>
    <w:rsid w:val="008C76A9"/>
    <w:rsid w:val="008E09A0"/>
    <w:rsid w:val="008E0A0A"/>
    <w:rsid w:val="008E1C5C"/>
    <w:rsid w:val="008E290F"/>
    <w:rsid w:val="008E58F2"/>
    <w:rsid w:val="008F60DD"/>
    <w:rsid w:val="00902D8F"/>
    <w:rsid w:val="00915847"/>
    <w:rsid w:val="00922134"/>
    <w:rsid w:val="0092246A"/>
    <w:rsid w:val="00922B52"/>
    <w:rsid w:val="00931DC3"/>
    <w:rsid w:val="00934C6F"/>
    <w:rsid w:val="00940D4E"/>
    <w:rsid w:val="009410BD"/>
    <w:rsid w:val="0094197B"/>
    <w:rsid w:val="009426AF"/>
    <w:rsid w:val="00955231"/>
    <w:rsid w:val="00960D0A"/>
    <w:rsid w:val="009666F7"/>
    <w:rsid w:val="0097324A"/>
    <w:rsid w:val="00975DAF"/>
    <w:rsid w:val="00981D40"/>
    <w:rsid w:val="00986083"/>
    <w:rsid w:val="00990757"/>
    <w:rsid w:val="009913D4"/>
    <w:rsid w:val="00996654"/>
    <w:rsid w:val="00996D17"/>
    <w:rsid w:val="009A5000"/>
    <w:rsid w:val="009A57FE"/>
    <w:rsid w:val="009A72D8"/>
    <w:rsid w:val="009B0C05"/>
    <w:rsid w:val="009B561D"/>
    <w:rsid w:val="009D2828"/>
    <w:rsid w:val="009D2EEA"/>
    <w:rsid w:val="009D656B"/>
    <w:rsid w:val="009D7390"/>
    <w:rsid w:val="009E0912"/>
    <w:rsid w:val="009E1CD2"/>
    <w:rsid w:val="009E5AB2"/>
    <w:rsid w:val="009F1C34"/>
    <w:rsid w:val="009F41B6"/>
    <w:rsid w:val="009F5654"/>
    <w:rsid w:val="009F6397"/>
    <w:rsid w:val="00A059EC"/>
    <w:rsid w:val="00A05DCD"/>
    <w:rsid w:val="00A0772E"/>
    <w:rsid w:val="00A07D8C"/>
    <w:rsid w:val="00A07D95"/>
    <w:rsid w:val="00A210A3"/>
    <w:rsid w:val="00A21585"/>
    <w:rsid w:val="00A2253E"/>
    <w:rsid w:val="00A31900"/>
    <w:rsid w:val="00A34213"/>
    <w:rsid w:val="00A414B3"/>
    <w:rsid w:val="00A4374F"/>
    <w:rsid w:val="00A513B7"/>
    <w:rsid w:val="00A51C54"/>
    <w:rsid w:val="00A55345"/>
    <w:rsid w:val="00A57666"/>
    <w:rsid w:val="00A63AB2"/>
    <w:rsid w:val="00A65AFE"/>
    <w:rsid w:val="00A8336D"/>
    <w:rsid w:val="00A83D01"/>
    <w:rsid w:val="00A91E2F"/>
    <w:rsid w:val="00A92302"/>
    <w:rsid w:val="00A96568"/>
    <w:rsid w:val="00A97E24"/>
    <w:rsid w:val="00AC4034"/>
    <w:rsid w:val="00AD008A"/>
    <w:rsid w:val="00AE03BD"/>
    <w:rsid w:val="00AE1303"/>
    <w:rsid w:val="00AF0D3E"/>
    <w:rsid w:val="00B05F89"/>
    <w:rsid w:val="00B1197A"/>
    <w:rsid w:val="00B11F5E"/>
    <w:rsid w:val="00B24378"/>
    <w:rsid w:val="00B24926"/>
    <w:rsid w:val="00B34F72"/>
    <w:rsid w:val="00B41EF6"/>
    <w:rsid w:val="00B460E6"/>
    <w:rsid w:val="00B5784E"/>
    <w:rsid w:val="00B613E2"/>
    <w:rsid w:val="00B6567E"/>
    <w:rsid w:val="00B71247"/>
    <w:rsid w:val="00B74DC3"/>
    <w:rsid w:val="00B76444"/>
    <w:rsid w:val="00B80AA8"/>
    <w:rsid w:val="00B9197E"/>
    <w:rsid w:val="00B91A4D"/>
    <w:rsid w:val="00B93705"/>
    <w:rsid w:val="00BA0A38"/>
    <w:rsid w:val="00BA15C4"/>
    <w:rsid w:val="00BA1D07"/>
    <w:rsid w:val="00BA4675"/>
    <w:rsid w:val="00BA52C6"/>
    <w:rsid w:val="00BA5466"/>
    <w:rsid w:val="00BB38D3"/>
    <w:rsid w:val="00BB6D9C"/>
    <w:rsid w:val="00BC2F5A"/>
    <w:rsid w:val="00BC65E0"/>
    <w:rsid w:val="00BC7A71"/>
    <w:rsid w:val="00BD28CA"/>
    <w:rsid w:val="00BD6B24"/>
    <w:rsid w:val="00BE0636"/>
    <w:rsid w:val="00C02CBF"/>
    <w:rsid w:val="00C02F17"/>
    <w:rsid w:val="00C069CD"/>
    <w:rsid w:val="00C12FE5"/>
    <w:rsid w:val="00C13B2B"/>
    <w:rsid w:val="00C20809"/>
    <w:rsid w:val="00C23DCF"/>
    <w:rsid w:val="00C24EF7"/>
    <w:rsid w:val="00C3656F"/>
    <w:rsid w:val="00C3732E"/>
    <w:rsid w:val="00C43523"/>
    <w:rsid w:val="00C44BB9"/>
    <w:rsid w:val="00C61260"/>
    <w:rsid w:val="00C649C4"/>
    <w:rsid w:val="00C71D4B"/>
    <w:rsid w:val="00C7336A"/>
    <w:rsid w:val="00C775FF"/>
    <w:rsid w:val="00C8580E"/>
    <w:rsid w:val="00C95196"/>
    <w:rsid w:val="00C96A98"/>
    <w:rsid w:val="00CA3AC9"/>
    <w:rsid w:val="00CA5EED"/>
    <w:rsid w:val="00CA799E"/>
    <w:rsid w:val="00CB12FF"/>
    <w:rsid w:val="00CB231A"/>
    <w:rsid w:val="00CC1198"/>
    <w:rsid w:val="00CC1B57"/>
    <w:rsid w:val="00CC66F1"/>
    <w:rsid w:val="00CC7CA7"/>
    <w:rsid w:val="00CD69B9"/>
    <w:rsid w:val="00CE0245"/>
    <w:rsid w:val="00CE27EE"/>
    <w:rsid w:val="00CE45A2"/>
    <w:rsid w:val="00CF3166"/>
    <w:rsid w:val="00D01D1A"/>
    <w:rsid w:val="00D038F9"/>
    <w:rsid w:val="00D05A0D"/>
    <w:rsid w:val="00D061B5"/>
    <w:rsid w:val="00D126A0"/>
    <w:rsid w:val="00D15001"/>
    <w:rsid w:val="00D16DF1"/>
    <w:rsid w:val="00D2359E"/>
    <w:rsid w:val="00D23F65"/>
    <w:rsid w:val="00D24C6F"/>
    <w:rsid w:val="00D42471"/>
    <w:rsid w:val="00D553D1"/>
    <w:rsid w:val="00D56C30"/>
    <w:rsid w:val="00D61B2E"/>
    <w:rsid w:val="00D63576"/>
    <w:rsid w:val="00D748EC"/>
    <w:rsid w:val="00D801D4"/>
    <w:rsid w:val="00D86B87"/>
    <w:rsid w:val="00D879DD"/>
    <w:rsid w:val="00D91715"/>
    <w:rsid w:val="00D925A4"/>
    <w:rsid w:val="00D94909"/>
    <w:rsid w:val="00DA17F9"/>
    <w:rsid w:val="00DA3699"/>
    <w:rsid w:val="00DA47E7"/>
    <w:rsid w:val="00DB6343"/>
    <w:rsid w:val="00DC3DD2"/>
    <w:rsid w:val="00DD0D7B"/>
    <w:rsid w:val="00DD36F0"/>
    <w:rsid w:val="00DD5D3E"/>
    <w:rsid w:val="00DE2818"/>
    <w:rsid w:val="00DF2DEF"/>
    <w:rsid w:val="00DF589D"/>
    <w:rsid w:val="00DF6F28"/>
    <w:rsid w:val="00DF7F1A"/>
    <w:rsid w:val="00E0085E"/>
    <w:rsid w:val="00E04D6A"/>
    <w:rsid w:val="00E0763A"/>
    <w:rsid w:val="00E079F1"/>
    <w:rsid w:val="00E103E4"/>
    <w:rsid w:val="00E15AB6"/>
    <w:rsid w:val="00E24A73"/>
    <w:rsid w:val="00E25099"/>
    <w:rsid w:val="00E26148"/>
    <w:rsid w:val="00E31FCC"/>
    <w:rsid w:val="00E32750"/>
    <w:rsid w:val="00E3734B"/>
    <w:rsid w:val="00E4047A"/>
    <w:rsid w:val="00E53115"/>
    <w:rsid w:val="00E558CF"/>
    <w:rsid w:val="00E55B28"/>
    <w:rsid w:val="00E5757E"/>
    <w:rsid w:val="00E60354"/>
    <w:rsid w:val="00E6345B"/>
    <w:rsid w:val="00E66BB6"/>
    <w:rsid w:val="00E677E9"/>
    <w:rsid w:val="00E7186F"/>
    <w:rsid w:val="00E72DCA"/>
    <w:rsid w:val="00E74505"/>
    <w:rsid w:val="00E942E9"/>
    <w:rsid w:val="00E95F0C"/>
    <w:rsid w:val="00EA0297"/>
    <w:rsid w:val="00EA0575"/>
    <w:rsid w:val="00EA7E22"/>
    <w:rsid w:val="00EB1040"/>
    <w:rsid w:val="00EB2BA0"/>
    <w:rsid w:val="00EB32D6"/>
    <w:rsid w:val="00EB6D63"/>
    <w:rsid w:val="00EB779A"/>
    <w:rsid w:val="00EC37F3"/>
    <w:rsid w:val="00EC455D"/>
    <w:rsid w:val="00EC7B5D"/>
    <w:rsid w:val="00ED479B"/>
    <w:rsid w:val="00ED562C"/>
    <w:rsid w:val="00ED69E6"/>
    <w:rsid w:val="00ED6A40"/>
    <w:rsid w:val="00ED7A9A"/>
    <w:rsid w:val="00EE0472"/>
    <w:rsid w:val="00EE6FB9"/>
    <w:rsid w:val="00EE7E78"/>
    <w:rsid w:val="00EF2DD1"/>
    <w:rsid w:val="00EF4087"/>
    <w:rsid w:val="00EF5022"/>
    <w:rsid w:val="00F01201"/>
    <w:rsid w:val="00F03B3D"/>
    <w:rsid w:val="00F03D2D"/>
    <w:rsid w:val="00F04B83"/>
    <w:rsid w:val="00F14D25"/>
    <w:rsid w:val="00F168F7"/>
    <w:rsid w:val="00F23C0F"/>
    <w:rsid w:val="00F30337"/>
    <w:rsid w:val="00F329F4"/>
    <w:rsid w:val="00F330DA"/>
    <w:rsid w:val="00F34C73"/>
    <w:rsid w:val="00F359CD"/>
    <w:rsid w:val="00F35E7B"/>
    <w:rsid w:val="00F43EA2"/>
    <w:rsid w:val="00F51A9E"/>
    <w:rsid w:val="00F521F8"/>
    <w:rsid w:val="00F5644E"/>
    <w:rsid w:val="00F57A63"/>
    <w:rsid w:val="00F661DA"/>
    <w:rsid w:val="00F70314"/>
    <w:rsid w:val="00F740D2"/>
    <w:rsid w:val="00F74F06"/>
    <w:rsid w:val="00F76531"/>
    <w:rsid w:val="00F82E7E"/>
    <w:rsid w:val="00F85171"/>
    <w:rsid w:val="00F8723D"/>
    <w:rsid w:val="00F927E9"/>
    <w:rsid w:val="00FB0ADD"/>
    <w:rsid w:val="00FC2F81"/>
    <w:rsid w:val="00FC429B"/>
    <w:rsid w:val="00FD100F"/>
    <w:rsid w:val="00FD2B63"/>
    <w:rsid w:val="00FD65A2"/>
    <w:rsid w:val="00FF1182"/>
    <w:rsid w:val="00FF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E741B4-ACB5-450F-B4F4-3840DFF5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581"/>
    <w:pPr>
      <w:spacing w:line="280" w:lineRule="exact"/>
      <w:jc w:val="both"/>
    </w:pPr>
    <w:rPr>
      <w:sz w:val="24"/>
    </w:rPr>
  </w:style>
  <w:style w:type="paragraph" w:styleId="Heading1">
    <w:name w:val="heading 1"/>
    <w:basedOn w:val="Normal"/>
    <w:next w:val="Normal"/>
    <w:link w:val="Heading1Char"/>
    <w:qFormat/>
    <w:rsid w:val="005B07C7"/>
    <w:pPr>
      <w:keepNext/>
      <w:numPr>
        <w:numId w:val="29"/>
      </w:numPr>
      <w:spacing w:line="240" w:lineRule="auto"/>
      <w:jc w:val="center"/>
      <w:outlineLvl w:val="0"/>
    </w:pPr>
    <w:rPr>
      <w:b/>
    </w:rPr>
  </w:style>
  <w:style w:type="paragraph" w:styleId="Heading2">
    <w:name w:val="heading 2"/>
    <w:aliases w:val="H2"/>
    <w:basedOn w:val="Heading1"/>
    <w:next w:val="Normal"/>
    <w:qFormat/>
    <w:rsid w:val="00803F6A"/>
    <w:pPr>
      <w:numPr>
        <w:ilvl w:val="1"/>
      </w:numPr>
      <w:ind w:left="576"/>
      <w:outlineLvl w:val="1"/>
    </w:pPr>
    <w:rPr>
      <w:sz w:val="28"/>
    </w:rPr>
  </w:style>
  <w:style w:type="paragraph" w:styleId="Heading3">
    <w:name w:val="heading 3"/>
    <w:aliases w:val="H3"/>
    <w:basedOn w:val="Heading2"/>
    <w:next w:val="Normal"/>
    <w:qFormat/>
    <w:rsid w:val="00803F6A"/>
    <w:pPr>
      <w:numPr>
        <w:ilvl w:val="2"/>
      </w:numPr>
      <w:outlineLvl w:val="2"/>
    </w:pPr>
    <w:rPr>
      <w:sz w:val="24"/>
    </w:rPr>
  </w:style>
  <w:style w:type="paragraph" w:styleId="Heading4">
    <w:name w:val="heading 4"/>
    <w:basedOn w:val="Heading3"/>
    <w:next w:val="Normal"/>
    <w:qFormat/>
    <w:rsid w:val="00803F6A"/>
    <w:pPr>
      <w:numPr>
        <w:ilvl w:val="3"/>
      </w:numPr>
      <w:outlineLvl w:val="3"/>
    </w:pPr>
  </w:style>
  <w:style w:type="paragraph" w:styleId="Heading5">
    <w:name w:val="heading 5"/>
    <w:basedOn w:val="Normal"/>
    <w:next w:val="Normal"/>
    <w:qFormat/>
    <w:rsid w:val="00803F6A"/>
    <w:pPr>
      <w:keepNext/>
      <w:widowControl w:val="0"/>
      <w:numPr>
        <w:ilvl w:val="4"/>
        <w:numId w:val="29"/>
      </w:numPr>
      <w:pBdr>
        <w:bottom w:val="single" w:sz="6" w:space="1" w:color="auto"/>
      </w:pBdr>
      <w:overflowPunct w:val="0"/>
      <w:autoSpaceDE w:val="0"/>
      <w:autoSpaceDN w:val="0"/>
      <w:adjustRightInd w:val="0"/>
      <w:spacing w:line="240" w:lineRule="auto"/>
      <w:textAlignment w:val="baseline"/>
      <w:outlineLvl w:val="4"/>
    </w:pPr>
    <w:rPr>
      <w:rFonts w:ascii="CG Times (W1)" w:hAnsi="CG Times (W1)"/>
      <w:b/>
      <w:sz w:val="22"/>
    </w:rPr>
  </w:style>
  <w:style w:type="paragraph" w:styleId="Heading6">
    <w:name w:val="heading 6"/>
    <w:basedOn w:val="Normal"/>
    <w:next w:val="Normal"/>
    <w:qFormat/>
    <w:rsid w:val="00803F6A"/>
    <w:pPr>
      <w:keepNext/>
      <w:numPr>
        <w:ilvl w:val="5"/>
        <w:numId w:val="29"/>
      </w:numPr>
      <w:spacing w:line="360" w:lineRule="auto"/>
      <w:jc w:val="center"/>
      <w:outlineLvl w:val="5"/>
    </w:pPr>
    <w:rPr>
      <w:b/>
    </w:rPr>
  </w:style>
  <w:style w:type="paragraph" w:styleId="Heading7">
    <w:name w:val="heading 7"/>
    <w:basedOn w:val="Normal"/>
    <w:next w:val="Normal"/>
    <w:qFormat/>
    <w:rsid w:val="00803F6A"/>
    <w:pPr>
      <w:keepNext/>
      <w:numPr>
        <w:ilvl w:val="6"/>
        <w:numId w:val="29"/>
      </w:numPr>
      <w:spacing w:line="240" w:lineRule="auto"/>
      <w:jc w:val="center"/>
      <w:outlineLvl w:val="6"/>
    </w:pPr>
    <w:rPr>
      <w:color w:val="000000"/>
      <w:sz w:val="23"/>
    </w:rPr>
  </w:style>
  <w:style w:type="paragraph" w:styleId="Heading8">
    <w:name w:val="heading 8"/>
    <w:basedOn w:val="Normal"/>
    <w:next w:val="Normal"/>
    <w:qFormat/>
    <w:rsid w:val="00803F6A"/>
    <w:pPr>
      <w:keepNext/>
      <w:numPr>
        <w:ilvl w:val="7"/>
        <w:numId w:val="29"/>
      </w:numPr>
      <w:tabs>
        <w:tab w:val="left" w:pos="0"/>
        <w:tab w:val="left" w:pos="864"/>
      </w:tabs>
      <w:suppressAutoHyphens/>
      <w:spacing w:line="240" w:lineRule="auto"/>
      <w:jc w:val="center"/>
      <w:outlineLvl w:val="7"/>
    </w:pPr>
    <w:rPr>
      <w:vanish/>
      <w:color w:val="000000"/>
    </w:rPr>
  </w:style>
  <w:style w:type="paragraph" w:styleId="Heading9">
    <w:name w:val="heading 9"/>
    <w:basedOn w:val="Normal"/>
    <w:next w:val="Normal"/>
    <w:qFormat/>
    <w:rsid w:val="00803F6A"/>
    <w:pPr>
      <w:keepNext/>
      <w:numPr>
        <w:ilvl w:val="8"/>
        <w:numId w:val="29"/>
      </w:numPr>
      <w:tabs>
        <w:tab w:val="left" w:pos="0"/>
        <w:tab w:val="left" w:pos="720"/>
        <w:tab w:val="left" w:pos="1152"/>
        <w:tab w:val="center" w:pos="7920"/>
      </w:tabs>
      <w:suppressAutoHyphens/>
      <w:spacing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07C7"/>
    <w:rPr>
      <w:b/>
      <w:sz w:val="24"/>
    </w:rPr>
  </w:style>
  <w:style w:type="paragraph" w:customStyle="1" w:styleId="Normal-Arial">
    <w:name w:val="Normal-Arial"/>
    <w:rsid w:val="00F34C73"/>
    <w:rPr>
      <w:rFonts w:ascii="Arial" w:hAnsi="Arial"/>
      <w:sz w:val="24"/>
    </w:rPr>
  </w:style>
  <w:style w:type="paragraph" w:customStyle="1" w:styleId="ReportNumber">
    <w:name w:val="Report Number"/>
    <w:next w:val="Normal-Arial"/>
    <w:rsid w:val="00E15AB6"/>
    <w:pPr>
      <w:jc w:val="right"/>
    </w:pPr>
    <w:rPr>
      <w:rFonts w:ascii="Arial Bold" w:hAnsi="Arial Bold"/>
      <w:b/>
      <w:sz w:val="24"/>
    </w:rPr>
  </w:style>
  <w:style w:type="character" w:customStyle="1" w:styleId="BodyTextChar">
    <w:name w:val="Body Text Char"/>
    <w:aliases w:val=" Char Char"/>
    <w:link w:val="BodyText"/>
    <w:semiHidden/>
    <w:rsid w:val="006852C1"/>
    <w:rPr>
      <w:rFonts w:ascii="Arial" w:hAnsi="Arial"/>
      <w:iCs/>
      <w:sz w:val="22"/>
      <w:szCs w:val="24"/>
    </w:rPr>
  </w:style>
  <w:style w:type="paragraph" w:styleId="BodyText">
    <w:name w:val="Body Text"/>
    <w:aliases w:val=" Char"/>
    <w:basedOn w:val="Normal"/>
    <w:link w:val="BodyTextChar"/>
    <w:semiHidden/>
    <w:rsid w:val="00803F6A"/>
    <w:pPr>
      <w:spacing w:after="240"/>
    </w:pPr>
    <w:rPr>
      <w:rFonts w:ascii="Arial" w:hAnsi="Arial"/>
      <w:iCs/>
      <w:sz w:val="22"/>
      <w:szCs w:val="24"/>
    </w:rPr>
  </w:style>
  <w:style w:type="paragraph" w:styleId="BalloonText">
    <w:name w:val="Balloon Text"/>
    <w:basedOn w:val="Normal"/>
    <w:semiHidden/>
    <w:rsid w:val="00803F6A"/>
    <w:rPr>
      <w:rFonts w:ascii="Tahoma" w:hAnsi="Tahoma" w:cs="Tahoma"/>
      <w:sz w:val="16"/>
      <w:szCs w:val="16"/>
    </w:rPr>
  </w:style>
  <w:style w:type="paragraph" w:styleId="BodyTextIndent">
    <w:name w:val="Body Text Indent"/>
    <w:basedOn w:val="Normal"/>
    <w:link w:val="BodyTextIndentChar"/>
    <w:semiHidden/>
    <w:rsid w:val="00803F6A"/>
    <w:pPr>
      <w:spacing w:after="120"/>
      <w:ind w:left="360"/>
    </w:pPr>
  </w:style>
  <w:style w:type="paragraph" w:styleId="Caption">
    <w:name w:val="caption"/>
    <w:basedOn w:val="Normal"/>
    <w:next w:val="Normal"/>
    <w:link w:val="CaptionChar"/>
    <w:semiHidden/>
    <w:qFormat/>
    <w:rsid w:val="00803F6A"/>
    <w:pPr>
      <w:spacing w:before="120" w:after="120"/>
    </w:pPr>
    <w:rPr>
      <w:b/>
    </w:rPr>
  </w:style>
  <w:style w:type="character" w:customStyle="1" w:styleId="CaptionChar">
    <w:name w:val="Caption Char"/>
    <w:link w:val="Caption"/>
    <w:semiHidden/>
    <w:rsid w:val="006852C1"/>
    <w:rPr>
      <w:b/>
      <w:sz w:val="24"/>
    </w:rPr>
  </w:style>
  <w:style w:type="paragraph" w:customStyle="1" w:styleId="CIPBullets">
    <w:name w:val="CIP Bullets"/>
    <w:basedOn w:val="Normal"/>
    <w:link w:val="CIPBulletsCharChar"/>
    <w:semiHidden/>
    <w:rsid w:val="00803F6A"/>
    <w:pPr>
      <w:numPr>
        <w:numId w:val="1"/>
      </w:numPr>
    </w:pPr>
    <w:rPr>
      <w:szCs w:val="18"/>
    </w:rPr>
  </w:style>
  <w:style w:type="character" w:customStyle="1" w:styleId="CIPBulletsCharChar">
    <w:name w:val="CIP Bullets Char Char"/>
    <w:link w:val="CIPBullets"/>
    <w:semiHidden/>
    <w:rsid w:val="006852C1"/>
    <w:rPr>
      <w:sz w:val="24"/>
      <w:szCs w:val="18"/>
    </w:rPr>
  </w:style>
  <w:style w:type="paragraph" w:customStyle="1" w:styleId="cipbullets0">
    <w:name w:val="cipbullets"/>
    <w:basedOn w:val="Normal"/>
    <w:semiHidden/>
    <w:rsid w:val="00803F6A"/>
    <w:pPr>
      <w:spacing w:after="40"/>
      <w:ind w:left="317" w:hanging="288"/>
    </w:pPr>
  </w:style>
  <w:style w:type="character" w:styleId="CommentReference">
    <w:name w:val="annotation reference"/>
    <w:semiHidden/>
    <w:rsid w:val="00803F6A"/>
    <w:rPr>
      <w:sz w:val="16"/>
      <w:szCs w:val="16"/>
    </w:rPr>
  </w:style>
  <w:style w:type="paragraph" w:styleId="CommentText">
    <w:name w:val="annotation text"/>
    <w:basedOn w:val="Normal"/>
    <w:semiHidden/>
    <w:rsid w:val="00803F6A"/>
    <w:rPr>
      <w:sz w:val="20"/>
    </w:rPr>
  </w:style>
  <w:style w:type="paragraph" w:styleId="CommentSubject">
    <w:name w:val="annotation subject"/>
    <w:basedOn w:val="CommentText"/>
    <w:next w:val="CommentText"/>
    <w:semiHidden/>
    <w:rsid w:val="00803F6A"/>
    <w:rPr>
      <w:b/>
      <w:bCs/>
    </w:rPr>
  </w:style>
  <w:style w:type="paragraph" w:customStyle="1" w:styleId="Default">
    <w:name w:val="Default"/>
    <w:semiHidden/>
    <w:rsid w:val="00803F6A"/>
    <w:pPr>
      <w:autoSpaceDE w:val="0"/>
      <w:autoSpaceDN w:val="0"/>
      <w:adjustRightInd w:val="0"/>
    </w:pPr>
    <w:rPr>
      <w:color w:val="000000"/>
      <w:sz w:val="24"/>
      <w:szCs w:val="24"/>
    </w:rPr>
  </w:style>
  <w:style w:type="character" w:styleId="Emphasis">
    <w:name w:val="Emphasis"/>
    <w:semiHidden/>
    <w:qFormat/>
    <w:rsid w:val="00803F6A"/>
    <w:rPr>
      <w:i/>
      <w:iCs/>
    </w:rPr>
  </w:style>
  <w:style w:type="paragraph" w:customStyle="1" w:styleId="Figure">
    <w:name w:val="Figure"/>
    <w:basedOn w:val="Normal"/>
    <w:rsid w:val="00803F6A"/>
    <w:pPr>
      <w:spacing w:line="240" w:lineRule="auto"/>
      <w:jc w:val="center"/>
    </w:pPr>
  </w:style>
  <w:style w:type="paragraph" w:customStyle="1" w:styleId="FigureTitle">
    <w:name w:val="Figure Title"/>
    <w:basedOn w:val="Normal"/>
    <w:next w:val="Normal"/>
    <w:rsid w:val="00803F6A"/>
    <w:pPr>
      <w:spacing w:before="280" w:line="240" w:lineRule="auto"/>
    </w:pPr>
    <w:rPr>
      <w:b/>
      <w:sz w:val="22"/>
    </w:rPr>
  </w:style>
  <w:style w:type="character" w:styleId="FollowedHyperlink">
    <w:name w:val="FollowedHyperlink"/>
    <w:semiHidden/>
    <w:rsid w:val="00803F6A"/>
    <w:rPr>
      <w:color w:val="800080"/>
      <w:u w:val="single"/>
    </w:rPr>
  </w:style>
  <w:style w:type="paragraph" w:styleId="Header">
    <w:name w:val="header"/>
    <w:basedOn w:val="Normal"/>
    <w:link w:val="HeaderChar"/>
    <w:uiPriority w:val="99"/>
    <w:rsid w:val="00803F6A"/>
    <w:pPr>
      <w:tabs>
        <w:tab w:val="center" w:pos="4680"/>
        <w:tab w:val="right" w:pos="9360"/>
      </w:tabs>
      <w:spacing w:line="240" w:lineRule="auto"/>
    </w:pPr>
    <w:rPr>
      <w:i/>
      <w:sz w:val="22"/>
    </w:rPr>
  </w:style>
  <w:style w:type="paragraph" w:styleId="Footer">
    <w:name w:val="footer"/>
    <w:basedOn w:val="Header"/>
    <w:link w:val="FooterChar"/>
    <w:uiPriority w:val="99"/>
    <w:rsid w:val="00803F6A"/>
    <w:pPr>
      <w:jc w:val="center"/>
    </w:pPr>
  </w:style>
  <w:style w:type="character" w:styleId="FootnoteReference">
    <w:name w:val="footnote reference"/>
    <w:semiHidden/>
    <w:rsid w:val="00803F6A"/>
    <w:rPr>
      <w:position w:val="6"/>
      <w:sz w:val="20"/>
      <w:vertAlign w:val="baseline"/>
    </w:rPr>
  </w:style>
  <w:style w:type="paragraph" w:styleId="FootnoteText">
    <w:name w:val="footnote text"/>
    <w:basedOn w:val="Normal"/>
    <w:semiHidden/>
    <w:rsid w:val="00803F6A"/>
    <w:pPr>
      <w:spacing w:after="120" w:line="240" w:lineRule="auto"/>
      <w:ind w:left="288" w:hanging="288"/>
    </w:pPr>
    <w:rPr>
      <w:sz w:val="20"/>
    </w:rPr>
  </w:style>
  <w:style w:type="paragraph" w:customStyle="1" w:styleId="GFSBulletList1">
    <w:name w:val="GFS Bullet List 1"/>
    <w:basedOn w:val="Normal"/>
    <w:semiHidden/>
    <w:rsid w:val="00803F6A"/>
    <w:pPr>
      <w:numPr>
        <w:ilvl w:val="1"/>
        <w:numId w:val="2"/>
      </w:numPr>
    </w:pPr>
  </w:style>
  <w:style w:type="character" w:styleId="Hyperlink">
    <w:name w:val="Hyperlink"/>
    <w:uiPriority w:val="99"/>
    <w:rsid w:val="00803F6A"/>
    <w:rPr>
      <w:color w:val="0000FF"/>
      <w:u w:val="single"/>
    </w:rPr>
  </w:style>
  <w:style w:type="paragraph" w:customStyle="1" w:styleId="IPDtableFoot">
    <w:name w:val="IPDtableFoot"/>
    <w:basedOn w:val="Normal"/>
    <w:semiHidden/>
    <w:rsid w:val="00803F6A"/>
    <w:pPr>
      <w:widowControl w:val="0"/>
      <w:tabs>
        <w:tab w:val="left" w:pos="216"/>
      </w:tabs>
      <w:spacing w:after="144" w:line="288" w:lineRule="exact"/>
    </w:pPr>
    <w:rPr>
      <w:snapToGrid w:val="0"/>
    </w:rPr>
  </w:style>
  <w:style w:type="paragraph" w:styleId="ListBullet">
    <w:name w:val="List Bullet"/>
    <w:basedOn w:val="Normal"/>
    <w:semiHidden/>
    <w:rsid w:val="00803F6A"/>
    <w:pPr>
      <w:numPr>
        <w:numId w:val="4"/>
      </w:numPr>
      <w:spacing w:after="120"/>
    </w:pPr>
    <w:rPr>
      <w:rFonts w:ascii="Arial Narrow" w:hAnsi="Arial Narrow"/>
    </w:rPr>
  </w:style>
  <w:style w:type="paragraph" w:styleId="NormalWeb">
    <w:name w:val="Normal (Web)"/>
    <w:basedOn w:val="Normal"/>
    <w:semiHidden/>
    <w:rsid w:val="00803F6A"/>
    <w:pPr>
      <w:spacing w:before="100" w:beforeAutospacing="1" w:after="100" w:afterAutospacing="1"/>
    </w:pPr>
  </w:style>
  <w:style w:type="paragraph" w:customStyle="1" w:styleId="Numberlisting">
    <w:name w:val="Number listing"/>
    <w:basedOn w:val="Normal"/>
    <w:semiHidden/>
    <w:rsid w:val="00803F6A"/>
    <w:pPr>
      <w:numPr>
        <w:numId w:val="5"/>
      </w:numPr>
    </w:pPr>
  </w:style>
  <w:style w:type="character" w:styleId="PageNumber">
    <w:name w:val="page number"/>
    <w:basedOn w:val="DefaultParagraphFont"/>
    <w:rsid w:val="00803F6A"/>
  </w:style>
  <w:style w:type="paragraph" w:styleId="PlainText">
    <w:name w:val="Plain Text"/>
    <w:basedOn w:val="Normal"/>
    <w:semiHidden/>
    <w:rsid w:val="00803F6A"/>
    <w:pPr>
      <w:spacing w:line="240" w:lineRule="auto"/>
    </w:pPr>
    <w:rPr>
      <w:rFonts w:ascii="Courier New" w:hAnsi="Courier New"/>
      <w:sz w:val="20"/>
    </w:rPr>
  </w:style>
  <w:style w:type="paragraph" w:customStyle="1" w:styleId="RTableTitles">
    <w:name w:val="R Table Titles"/>
    <w:basedOn w:val="Normal"/>
    <w:semiHidden/>
    <w:rsid w:val="00803F6A"/>
    <w:pPr>
      <w:adjustRightInd w:val="0"/>
      <w:jc w:val="center"/>
      <w:textAlignment w:val="baseline"/>
    </w:pPr>
    <w:rPr>
      <w:rFonts w:ascii="Arial Bold" w:hAnsi="Arial Bold" w:cs="Times New Roman Bold"/>
      <w:b/>
      <w:color w:val="192837"/>
    </w:rPr>
  </w:style>
  <w:style w:type="paragraph" w:customStyle="1" w:styleId="Style1">
    <w:name w:val="Style1"/>
    <w:basedOn w:val="Normal"/>
    <w:semiHidden/>
    <w:rsid w:val="00803F6A"/>
    <w:pPr>
      <w:autoSpaceDE w:val="0"/>
      <w:autoSpaceDN w:val="0"/>
      <w:adjustRightInd w:val="0"/>
      <w:spacing w:after="120"/>
    </w:pPr>
    <w:rPr>
      <w:rFonts w:cs="Arial"/>
      <w:sz w:val="20"/>
    </w:rPr>
  </w:style>
  <w:style w:type="paragraph" w:customStyle="1" w:styleId="Sub-Bullet">
    <w:name w:val="Sub-Bullet"/>
    <w:next w:val="Normal"/>
    <w:semiHidden/>
    <w:rsid w:val="00803F6A"/>
    <w:pPr>
      <w:numPr>
        <w:numId w:val="6"/>
      </w:numPr>
      <w:spacing w:line="240" w:lineRule="exact"/>
    </w:pPr>
    <w:rPr>
      <w:rFonts w:ascii="Arial" w:hAnsi="Arial"/>
      <w:szCs w:val="24"/>
    </w:rPr>
  </w:style>
  <w:style w:type="paragraph" w:customStyle="1" w:styleId="TableCells">
    <w:name w:val="Table Cells"/>
    <w:basedOn w:val="Normal"/>
    <w:rsid w:val="003806C8"/>
    <w:pPr>
      <w:jc w:val="left"/>
    </w:pPr>
  </w:style>
  <w:style w:type="paragraph" w:customStyle="1" w:styleId="TableFootnote">
    <w:name w:val="Table Footnote"/>
    <w:basedOn w:val="TableCells"/>
    <w:semiHidden/>
    <w:rsid w:val="00803F6A"/>
    <w:pPr>
      <w:keepNext/>
      <w:keepLines/>
      <w:tabs>
        <w:tab w:val="left" w:pos="432"/>
      </w:tabs>
      <w:spacing w:before="100"/>
      <w:ind w:left="187" w:hanging="187"/>
    </w:pPr>
    <w:rPr>
      <w:sz w:val="16"/>
    </w:rPr>
  </w:style>
  <w:style w:type="table" w:styleId="TableGrid">
    <w:name w:val="Table Grid"/>
    <w:basedOn w:val="TableNormal"/>
    <w:rsid w:val="0080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semiHidden/>
    <w:rsid w:val="00803F6A"/>
    <w:pPr>
      <w:keepNext/>
      <w:spacing w:after="120"/>
      <w:jc w:val="center"/>
    </w:pPr>
    <w:rPr>
      <w:rFonts w:ascii="Garamond" w:hAnsi="Garamond"/>
      <w:b/>
      <w:bCs/>
    </w:rPr>
  </w:style>
  <w:style w:type="paragraph" w:styleId="TableofFigures">
    <w:name w:val="table of figures"/>
    <w:basedOn w:val="Normal"/>
    <w:next w:val="Normal"/>
    <w:uiPriority w:val="99"/>
    <w:rsid w:val="00803F6A"/>
  </w:style>
  <w:style w:type="paragraph" w:customStyle="1" w:styleId="TableTitle">
    <w:name w:val="Table Title"/>
    <w:basedOn w:val="Normal"/>
    <w:next w:val="Normal"/>
    <w:semiHidden/>
    <w:rsid w:val="00803F6A"/>
    <w:pPr>
      <w:spacing w:after="120" w:line="240" w:lineRule="auto"/>
      <w:jc w:val="center"/>
    </w:pPr>
    <w:rPr>
      <w:rFonts w:ascii="Arial Bold" w:hAnsi="Arial Bold"/>
      <w:b/>
      <w:sz w:val="22"/>
    </w:rPr>
  </w:style>
  <w:style w:type="paragraph" w:styleId="Title">
    <w:name w:val="Title"/>
    <w:basedOn w:val="Heading1"/>
    <w:next w:val="Normal"/>
    <w:qFormat/>
    <w:rsid w:val="00803F6A"/>
    <w:pPr>
      <w:outlineLvl w:val="9"/>
    </w:pPr>
  </w:style>
  <w:style w:type="paragraph" w:styleId="TOC1">
    <w:name w:val="toc 1"/>
    <w:basedOn w:val="Normal"/>
    <w:next w:val="Normal"/>
    <w:autoRedefine/>
    <w:uiPriority w:val="39"/>
    <w:rsid w:val="003100CE"/>
    <w:pPr>
      <w:tabs>
        <w:tab w:val="left" w:pos="360"/>
        <w:tab w:val="left" w:pos="630"/>
        <w:tab w:val="right" w:leader="dot" w:pos="9270"/>
        <w:tab w:val="right" w:pos="9360"/>
      </w:tabs>
      <w:spacing w:line="240" w:lineRule="auto"/>
      <w:ind w:left="630" w:hanging="630"/>
    </w:pPr>
    <w:rPr>
      <w:noProof/>
    </w:rPr>
  </w:style>
  <w:style w:type="paragraph" w:styleId="TOC2">
    <w:name w:val="toc 2"/>
    <w:basedOn w:val="TOC1"/>
    <w:next w:val="Normal"/>
    <w:autoRedefine/>
    <w:uiPriority w:val="39"/>
    <w:rsid w:val="00EB2BA0"/>
    <w:pPr>
      <w:tabs>
        <w:tab w:val="clear" w:pos="360"/>
        <w:tab w:val="clear" w:pos="630"/>
        <w:tab w:val="left" w:pos="240"/>
        <w:tab w:val="left" w:pos="900"/>
        <w:tab w:val="left" w:pos="1170"/>
        <w:tab w:val="right" w:leader="dot" w:pos="9360"/>
      </w:tabs>
      <w:spacing w:line="280" w:lineRule="exact"/>
      <w:ind w:left="0" w:firstLine="360"/>
      <w:jc w:val="left"/>
    </w:pPr>
  </w:style>
  <w:style w:type="paragraph" w:styleId="TOC3">
    <w:name w:val="toc 3"/>
    <w:basedOn w:val="TOC2"/>
    <w:next w:val="Normal"/>
    <w:autoRedefine/>
    <w:uiPriority w:val="39"/>
    <w:rsid w:val="00803F6A"/>
    <w:pPr>
      <w:tabs>
        <w:tab w:val="left" w:pos="1620"/>
      </w:tabs>
      <w:ind w:left="1620" w:hanging="720"/>
    </w:pPr>
  </w:style>
  <w:style w:type="paragraph" w:styleId="TOC4">
    <w:name w:val="toc 4"/>
    <w:basedOn w:val="TOC3"/>
    <w:next w:val="Normal"/>
    <w:autoRedefine/>
    <w:semiHidden/>
    <w:rsid w:val="00803F6A"/>
    <w:pPr>
      <w:tabs>
        <w:tab w:val="clear" w:pos="1620"/>
        <w:tab w:val="left" w:pos="2520"/>
      </w:tabs>
    </w:pPr>
  </w:style>
  <w:style w:type="paragraph" w:customStyle="1" w:styleId="ReportTitle">
    <w:name w:val="Report Title"/>
    <w:rsid w:val="00DA17F9"/>
    <w:pPr>
      <w:framePr w:wrap="around" w:vAnchor="page" w:hAnchor="margin" w:y="3025"/>
      <w:spacing w:line="528" w:lineRule="exact"/>
      <w:suppressOverlap/>
    </w:pPr>
    <w:rPr>
      <w:rFonts w:ascii="Arial Narrow" w:hAnsi="Arial Narrow"/>
      <w:b/>
      <w:sz w:val="44"/>
    </w:rPr>
  </w:style>
  <w:style w:type="paragraph" w:customStyle="1" w:styleId="OptionalSubtitle">
    <w:name w:val="Optional Subtitle"/>
    <w:semiHidden/>
    <w:rsid w:val="00DA17F9"/>
    <w:pPr>
      <w:spacing w:line="384" w:lineRule="exact"/>
    </w:pPr>
    <w:rPr>
      <w:rFonts w:ascii="Arial Narrow" w:hAnsi="Arial Narrow"/>
      <w:i/>
      <w:sz w:val="32"/>
    </w:rPr>
  </w:style>
  <w:style w:type="paragraph" w:customStyle="1" w:styleId="DivisionName">
    <w:name w:val="Division Name"/>
    <w:rsid w:val="00660912"/>
    <w:pPr>
      <w:framePr w:wrap="auto" w:hAnchor="text" w:y="2953"/>
      <w:spacing w:line="384" w:lineRule="exact"/>
    </w:pPr>
    <w:rPr>
      <w:rFonts w:ascii="Arial Narrow" w:hAnsi="Arial Narrow"/>
      <w:b/>
      <w:sz w:val="32"/>
    </w:rPr>
  </w:style>
  <w:style w:type="paragraph" w:customStyle="1" w:styleId="ByandDate">
    <w:name w:val="By and Date"/>
    <w:rsid w:val="00516C1D"/>
    <w:pPr>
      <w:framePr w:wrap="around" w:vAnchor="page" w:hAnchor="margin" w:y="7633"/>
      <w:spacing w:line="264" w:lineRule="exact"/>
      <w:suppressOverlap/>
    </w:pPr>
    <w:rPr>
      <w:rFonts w:ascii="Arial" w:hAnsi="Arial"/>
      <w:sz w:val="22"/>
    </w:rPr>
  </w:style>
  <w:style w:type="paragraph" w:customStyle="1" w:styleId="BackCover">
    <w:name w:val="Back Cover"/>
    <w:rsid w:val="00AD008A"/>
    <w:pPr>
      <w:framePr w:wrap="around" w:vAnchor="page" w:hAnchor="margin" w:y="2521"/>
      <w:spacing w:line="288" w:lineRule="exact"/>
      <w:suppressOverlap/>
    </w:pPr>
    <w:rPr>
      <w:rFonts w:ascii="Arial Narrow" w:hAnsi="Arial Narrow"/>
      <w:sz w:val="24"/>
    </w:rPr>
  </w:style>
  <w:style w:type="paragraph" w:styleId="BlockText">
    <w:name w:val="Block Text"/>
    <w:basedOn w:val="Normal"/>
    <w:semiHidden/>
    <w:rsid w:val="005F3002"/>
    <w:pPr>
      <w:snapToGrid w:val="0"/>
      <w:spacing w:line="360" w:lineRule="auto"/>
      <w:ind w:left="360" w:right="-360"/>
    </w:pPr>
    <w:rPr>
      <w:rFonts w:ascii="CG Times" w:hAnsi="CG Times"/>
      <w:sz w:val="22"/>
      <w:szCs w:val="22"/>
    </w:rPr>
  </w:style>
  <w:style w:type="paragraph" w:customStyle="1" w:styleId="StyleCaption12pt">
    <w:name w:val="Style Caption + 12 pt"/>
    <w:basedOn w:val="Caption"/>
    <w:link w:val="StyleCaption12ptChar"/>
    <w:autoRedefine/>
    <w:semiHidden/>
    <w:rsid w:val="005F3002"/>
    <w:pPr>
      <w:keepNext/>
      <w:keepLines/>
      <w:spacing w:before="0" w:after="0" w:line="240" w:lineRule="auto"/>
      <w:outlineLvl w:val="0"/>
    </w:pPr>
  </w:style>
  <w:style w:type="character" w:customStyle="1" w:styleId="StyleCaption12ptChar">
    <w:name w:val="Style Caption + 12 pt Char"/>
    <w:basedOn w:val="CaptionChar"/>
    <w:link w:val="StyleCaption12pt"/>
    <w:semiHidden/>
    <w:rsid w:val="006852C1"/>
    <w:rPr>
      <w:b/>
      <w:sz w:val="24"/>
    </w:rPr>
  </w:style>
  <w:style w:type="paragraph" w:styleId="TOC7">
    <w:name w:val="toc 7"/>
    <w:basedOn w:val="Normal"/>
    <w:next w:val="Normal"/>
    <w:autoRedefine/>
    <w:semiHidden/>
    <w:rsid w:val="005F3002"/>
    <w:pPr>
      <w:spacing w:line="240" w:lineRule="auto"/>
      <w:ind w:left="1440"/>
    </w:pPr>
    <w:rPr>
      <w:szCs w:val="24"/>
    </w:rPr>
  </w:style>
  <w:style w:type="paragraph" w:styleId="TOC5">
    <w:name w:val="toc 5"/>
    <w:basedOn w:val="Normal"/>
    <w:next w:val="Normal"/>
    <w:autoRedefine/>
    <w:semiHidden/>
    <w:rsid w:val="005F3002"/>
    <w:pPr>
      <w:spacing w:line="240" w:lineRule="auto"/>
      <w:ind w:left="960"/>
    </w:pPr>
    <w:rPr>
      <w:szCs w:val="24"/>
    </w:rPr>
  </w:style>
  <w:style w:type="paragraph" w:styleId="TOC9">
    <w:name w:val="toc 9"/>
    <w:basedOn w:val="Normal"/>
    <w:next w:val="Normal"/>
    <w:autoRedefine/>
    <w:semiHidden/>
    <w:rsid w:val="005F3002"/>
    <w:pPr>
      <w:spacing w:line="240" w:lineRule="auto"/>
      <w:ind w:left="1920"/>
    </w:pPr>
    <w:rPr>
      <w:szCs w:val="24"/>
    </w:rPr>
  </w:style>
  <w:style w:type="paragraph" w:styleId="TOC6">
    <w:name w:val="toc 6"/>
    <w:basedOn w:val="Normal"/>
    <w:next w:val="Normal"/>
    <w:autoRedefine/>
    <w:semiHidden/>
    <w:rsid w:val="005F3002"/>
    <w:pPr>
      <w:spacing w:line="240" w:lineRule="auto"/>
      <w:ind w:left="1200"/>
    </w:pPr>
    <w:rPr>
      <w:szCs w:val="24"/>
    </w:rPr>
  </w:style>
  <w:style w:type="paragraph" w:styleId="TOC8">
    <w:name w:val="toc 8"/>
    <w:basedOn w:val="Normal"/>
    <w:next w:val="Normal"/>
    <w:autoRedefine/>
    <w:semiHidden/>
    <w:rsid w:val="005F3002"/>
    <w:pPr>
      <w:spacing w:line="240" w:lineRule="auto"/>
      <w:ind w:left="1680"/>
    </w:pPr>
    <w:rPr>
      <w:szCs w:val="24"/>
    </w:rPr>
  </w:style>
  <w:style w:type="paragraph" w:styleId="Subtitle">
    <w:name w:val="Subtitle"/>
    <w:basedOn w:val="Normal"/>
    <w:link w:val="SubtitleChar"/>
    <w:qFormat/>
    <w:rsid w:val="00DA17F9"/>
    <w:pPr>
      <w:spacing w:line="384" w:lineRule="exact"/>
      <w:jc w:val="left"/>
    </w:pPr>
    <w:rPr>
      <w:rFonts w:ascii="Arial Narrow" w:hAnsi="Arial Narrow"/>
      <w:i/>
      <w:sz w:val="32"/>
      <w:szCs w:val="24"/>
    </w:rPr>
  </w:style>
  <w:style w:type="character" w:customStyle="1" w:styleId="BodyTextIndentChar">
    <w:name w:val="Body Text Indent Char"/>
    <w:link w:val="BodyTextIndent"/>
    <w:semiHidden/>
    <w:rsid w:val="006852C1"/>
    <w:rPr>
      <w:sz w:val="24"/>
    </w:rPr>
  </w:style>
  <w:style w:type="character" w:customStyle="1" w:styleId="SubtitleChar">
    <w:name w:val="Subtitle Char"/>
    <w:link w:val="Subtitle"/>
    <w:rsid w:val="00DA17F9"/>
    <w:rPr>
      <w:rFonts w:ascii="Arial Narrow" w:eastAsia="Times New Roman" w:hAnsi="Arial Narrow" w:cs="Times New Roman"/>
      <w:i/>
      <w:sz w:val="32"/>
      <w:szCs w:val="24"/>
    </w:rPr>
  </w:style>
  <w:style w:type="paragraph" w:customStyle="1" w:styleId="headings">
    <w:name w:val="headings"/>
    <w:basedOn w:val="Normal"/>
    <w:rsid w:val="00FC2F81"/>
    <w:pPr>
      <w:widowControl w:val="0"/>
      <w:tabs>
        <w:tab w:val="left" w:pos="90"/>
        <w:tab w:val="left" w:pos="180"/>
        <w:tab w:val="left" w:pos="270"/>
        <w:tab w:val="left" w:pos="360"/>
      </w:tabs>
      <w:autoSpaceDE w:val="0"/>
      <w:autoSpaceDN w:val="0"/>
      <w:adjustRightInd w:val="0"/>
      <w:spacing w:line="220" w:lineRule="atLeast"/>
      <w:jc w:val="left"/>
      <w:textAlignment w:val="center"/>
    </w:pPr>
    <w:rPr>
      <w:rFonts w:ascii="Arial Bold" w:eastAsia="Cambria" w:hAnsi="Arial Bold" w:cs="Arial-BoldMT"/>
      <w:b/>
      <w:bCs/>
      <w:color w:val="000000"/>
      <w:sz w:val="16"/>
      <w:szCs w:val="16"/>
    </w:rPr>
  </w:style>
  <w:style w:type="paragraph" w:customStyle="1" w:styleId="body">
    <w:name w:val="body"/>
    <w:basedOn w:val="Normal"/>
    <w:rsid w:val="00FC2F81"/>
    <w:pPr>
      <w:widowControl w:val="0"/>
      <w:tabs>
        <w:tab w:val="left" w:pos="90"/>
        <w:tab w:val="left" w:pos="180"/>
        <w:tab w:val="left" w:pos="270"/>
        <w:tab w:val="left" w:pos="360"/>
      </w:tabs>
      <w:autoSpaceDE w:val="0"/>
      <w:autoSpaceDN w:val="0"/>
      <w:adjustRightInd w:val="0"/>
      <w:spacing w:line="220" w:lineRule="atLeast"/>
      <w:jc w:val="left"/>
      <w:textAlignment w:val="center"/>
    </w:pPr>
    <w:rPr>
      <w:rFonts w:ascii="Arial" w:eastAsia="Cambria" w:hAnsi="Arial" w:cs="ArialMT"/>
      <w:color w:val="000000"/>
      <w:sz w:val="16"/>
      <w:szCs w:val="16"/>
    </w:rPr>
  </w:style>
  <w:style w:type="paragraph" w:customStyle="1" w:styleId="NoParagraphStyle">
    <w:name w:val="[No Paragraph Style]"/>
    <w:semiHidden/>
    <w:rsid w:val="00FC2F81"/>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paragraph" w:customStyle="1" w:styleId="disclaimerheading">
    <w:name w:val="disclaimer heading"/>
    <w:basedOn w:val="headings"/>
    <w:rsid w:val="00FC2F81"/>
    <w:pPr>
      <w:spacing w:line="200" w:lineRule="atLeast"/>
    </w:pPr>
    <w:rPr>
      <w:sz w:val="14"/>
      <w:szCs w:val="14"/>
    </w:rPr>
  </w:style>
  <w:style w:type="paragraph" w:customStyle="1" w:styleId="disclaimer-body">
    <w:name w:val="disclaimer-body"/>
    <w:basedOn w:val="body"/>
    <w:rsid w:val="00FC2F81"/>
    <w:pPr>
      <w:spacing w:line="200" w:lineRule="atLeast"/>
    </w:pPr>
    <w:rPr>
      <w:sz w:val="14"/>
      <w:szCs w:val="14"/>
    </w:rPr>
  </w:style>
  <w:style w:type="paragraph" w:customStyle="1" w:styleId="ReportTitle2">
    <w:name w:val="Report Title 2"/>
    <w:basedOn w:val="ReportTitle"/>
    <w:qFormat/>
    <w:rsid w:val="00516C1D"/>
    <w:pPr>
      <w:keepNext/>
      <w:keepLines/>
      <w:framePr w:wrap="around" w:y="3385"/>
      <w:tabs>
        <w:tab w:val="left" w:pos="432"/>
      </w:tabs>
      <w:spacing w:line="432" w:lineRule="exact"/>
    </w:pPr>
    <w:rPr>
      <w:sz w:val="36"/>
    </w:rPr>
  </w:style>
  <w:style w:type="paragraph" w:customStyle="1" w:styleId="Subtitle2">
    <w:name w:val="Subtitle 2"/>
    <w:basedOn w:val="Subtitle"/>
    <w:qFormat/>
    <w:rsid w:val="00516C1D"/>
    <w:pPr>
      <w:framePr w:wrap="around" w:vAnchor="page" w:hAnchor="margin" w:y="5761"/>
      <w:suppressOverlap/>
    </w:pPr>
    <w:rPr>
      <w:sz w:val="28"/>
    </w:rPr>
  </w:style>
  <w:style w:type="character" w:customStyle="1" w:styleId="HeaderChar">
    <w:name w:val="Header Char"/>
    <w:basedOn w:val="DefaultParagraphFont"/>
    <w:link w:val="Header"/>
    <w:uiPriority w:val="99"/>
    <w:rsid w:val="005B07C7"/>
    <w:rPr>
      <w:i/>
      <w:sz w:val="22"/>
    </w:rPr>
  </w:style>
  <w:style w:type="character" w:customStyle="1" w:styleId="FooterChar">
    <w:name w:val="Footer Char"/>
    <w:basedOn w:val="DefaultParagraphFont"/>
    <w:link w:val="Footer"/>
    <w:uiPriority w:val="99"/>
    <w:rsid w:val="005B07C7"/>
    <w:rPr>
      <w:i/>
      <w:sz w:val="22"/>
    </w:rPr>
  </w:style>
  <w:style w:type="paragraph" w:styleId="ListParagraph">
    <w:name w:val="List Paragraph"/>
    <w:basedOn w:val="Normal"/>
    <w:uiPriority w:val="34"/>
    <w:qFormat/>
    <w:rsid w:val="00EB2BA0"/>
    <w:pPr>
      <w:ind w:left="720"/>
      <w:contextualSpacing/>
    </w:pPr>
  </w:style>
  <w:style w:type="numbering" w:customStyle="1" w:styleId="ArgonneNumberingStyle">
    <w:name w:val="Argonne Numbering Style"/>
    <w:uiPriority w:val="99"/>
    <w:rsid w:val="00EB2BA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sti.gov/" TargetMode="External"/><Relationship Id="rId18" Type="http://schemas.openxmlformats.org/officeDocument/2006/relationships/header" Target="header3.xml"/><Relationship Id="rId26" Type="http://schemas.openxmlformats.org/officeDocument/2006/relationships/hyperlink" Target="file:///C:\Users\qploussard\Documents\HFE%20project%20WY2019\HFE%202019%20Report%20V3%20tv%20qp.docx" TargetMode="External"/><Relationship Id="rId39"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file:///C:\Users\qploussard\Documents\HFE%20project%20WY2019\HFE%202019%20Report%20V3%20tv%20qp.docx" TargetMode="External"/><Relationship Id="rId34" Type="http://schemas.openxmlformats.org/officeDocument/2006/relationships/image" Target="media/image7.emf"/><Relationship Id="rId42" Type="http://schemas.openxmlformats.org/officeDocument/2006/relationships/image" Target="media/image13.emf"/><Relationship Id="rId47" Type="http://schemas.openxmlformats.org/officeDocument/2006/relationships/image" Target="media/image16.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rders@ntis.gov" TargetMode="External"/><Relationship Id="rId17" Type="http://schemas.openxmlformats.org/officeDocument/2006/relationships/footer" Target="footer1.xml"/><Relationship Id="rId25" Type="http://schemas.openxmlformats.org/officeDocument/2006/relationships/hyperlink" Target="file:///C:\Users\qploussard\Documents\HFE%20project%20WY2019\HFE%202019%20Report%20V3%20tv%20qp.docx" TargetMode="External"/><Relationship Id="rId33" Type="http://schemas.openxmlformats.org/officeDocument/2006/relationships/image" Target="media/image6.emf"/><Relationship Id="rId38" Type="http://schemas.openxmlformats.org/officeDocument/2006/relationships/image" Target="media/image10.emf"/><Relationship Id="rId46"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file:///C:\Users\qploussard\Documents\HFE%20project%20WY2019\HFE%202019%20Report%20V3%20tv%20qp.docx" TargetMode="External"/><Relationship Id="rId29" Type="http://schemas.openxmlformats.org/officeDocument/2006/relationships/image" Target="media/image2.emf"/><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is.gov/" TargetMode="External"/><Relationship Id="rId24" Type="http://schemas.openxmlformats.org/officeDocument/2006/relationships/hyperlink" Target="file:///C:\Users\qploussard\Documents\HFE%20project%20WY2019\HFE%202019%20Report%20V3%20tv%20qp.docx" TargetMode="External"/><Relationship Id="rId32" Type="http://schemas.openxmlformats.org/officeDocument/2006/relationships/image" Target="media/image5.emf"/><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file:///C:\Users\qploussard\Documents\HFE%20project%20WY2019\HFE%202019%20Report%20V3%20tv%20qp.docx" TargetMode="External"/><Relationship Id="rId28" Type="http://schemas.openxmlformats.org/officeDocument/2006/relationships/footer" Target="footer3.xml"/><Relationship Id="rId36" Type="http://schemas.openxmlformats.org/officeDocument/2006/relationships/image" Target="media/image9.emf"/><Relationship Id="rId49" Type="http://schemas.openxmlformats.org/officeDocument/2006/relationships/footer" Target="footer8.xml"/><Relationship Id="rId10" Type="http://schemas.openxmlformats.org/officeDocument/2006/relationships/hyperlink" Target="http://www.osti.gov/" TargetMode="External"/><Relationship Id="rId19" Type="http://schemas.openxmlformats.org/officeDocument/2006/relationships/footer" Target="footer2.xml"/><Relationship Id="rId31" Type="http://schemas.openxmlformats.org/officeDocument/2006/relationships/image" Target="media/image4.emf"/><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anl.gov/" TargetMode="External"/><Relationship Id="rId14" Type="http://schemas.openxmlformats.org/officeDocument/2006/relationships/hyperlink" Target="mailto:reports@osti.gov" TargetMode="External"/><Relationship Id="rId22" Type="http://schemas.openxmlformats.org/officeDocument/2006/relationships/hyperlink" Target="file:///C:\Users\qploussard\Documents\HFE%20project%20WY2019\HFE%202019%20Report%20V3%20tv%20qp.docx" TargetMode="External"/><Relationship Id="rId27" Type="http://schemas.openxmlformats.org/officeDocument/2006/relationships/hyperlink" Target="file:///C:\Users\qploussard\Documents\HFE%20project%20WY2019\HFE%202019%20Report%20V3%20tv%20qp.docx" TargetMode="External"/><Relationship Id="rId30" Type="http://schemas.openxmlformats.org/officeDocument/2006/relationships/image" Target="media/image3.emf"/><Relationship Id="rId35" Type="http://schemas.openxmlformats.org/officeDocument/2006/relationships/image" Target="media/image8.emf"/><Relationship Id="rId43" Type="http://schemas.openxmlformats.org/officeDocument/2006/relationships/image" Target="media/image14.emf"/><Relationship Id="rId48" Type="http://schemas.openxmlformats.org/officeDocument/2006/relationships/image" Target="media/image160.jpeg"/><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8747-1BF8-433C-9BCB-13CED14F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12134</Words>
  <Characters>70642</Characters>
  <Application>Microsoft Office Word</Application>
  <DocSecurity>4</DocSecurity>
  <Lines>588</Lines>
  <Paragraphs>165</Paragraphs>
  <ScaleCrop>false</ScaleCrop>
  <HeadingPairs>
    <vt:vector size="2" baseType="variant">
      <vt:variant>
        <vt:lpstr>Title</vt:lpstr>
      </vt:variant>
      <vt:variant>
        <vt:i4>1</vt:i4>
      </vt:variant>
    </vt:vector>
  </HeadingPairs>
  <TitlesOfParts>
    <vt:vector size="1" baseType="lpstr">
      <vt:lpstr>Report Number</vt:lpstr>
    </vt:vector>
  </TitlesOfParts>
  <Company>Argonne National Laboratory</Company>
  <LinksUpToDate>false</LinksUpToDate>
  <CharactersWithSpaces>82611</CharactersWithSpaces>
  <SharedDoc>false</SharedDoc>
  <HLinks>
    <vt:vector size="36" baseType="variant">
      <vt:variant>
        <vt:i4>3866633</vt:i4>
      </vt:variant>
      <vt:variant>
        <vt:i4>15</vt:i4>
      </vt:variant>
      <vt:variant>
        <vt:i4>0</vt:i4>
      </vt:variant>
      <vt:variant>
        <vt:i4>5</vt:i4>
      </vt:variant>
      <vt:variant>
        <vt:lpwstr>mailto:reports@osti.gov</vt:lpwstr>
      </vt:variant>
      <vt:variant>
        <vt:lpwstr/>
      </vt:variant>
      <vt:variant>
        <vt:i4>6160475</vt:i4>
      </vt:variant>
      <vt:variant>
        <vt:i4>12</vt:i4>
      </vt:variant>
      <vt:variant>
        <vt:i4>0</vt:i4>
      </vt:variant>
      <vt:variant>
        <vt:i4>5</vt:i4>
      </vt:variant>
      <vt:variant>
        <vt:lpwstr>http://www.osti.gov/</vt:lpwstr>
      </vt:variant>
      <vt:variant>
        <vt:lpwstr/>
      </vt:variant>
      <vt:variant>
        <vt:i4>5046376</vt:i4>
      </vt:variant>
      <vt:variant>
        <vt:i4>9</vt:i4>
      </vt:variant>
      <vt:variant>
        <vt:i4>0</vt:i4>
      </vt:variant>
      <vt:variant>
        <vt:i4>5</vt:i4>
      </vt:variant>
      <vt:variant>
        <vt:lpwstr>mailto:orders@ntis.gov</vt:lpwstr>
      </vt:variant>
      <vt:variant>
        <vt:lpwstr/>
      </vt:variant>
      <vt:variant>
        <vt:i4>4325446</vt:i4>
      </vt:variant>
      <vt:variant>
        <vt:i4>6</vt:i4>
      </vt:variant>
      <vt:variant>
        <vt:i4>0</vt:i4>
      </vt:variant>
      <vt:variant>
        <vt:i4>5</vt:i4>
      </vt:variant>
      <vt:variant>
        <vt:lpwstr>http://www.ntis.gov/</vt:lpwstr>
      </vt:variant>
      <vt:variant>
        <vt:lpwstr/>
      </vt:variant>
      <vt:variant>
        <vt:i4>327756</vt:i4>
      </vt:variant>
      <vt:variant>
        <vt:i4>3</vt:i4>
      </vt:variant>
      <vt:variant>
        <vt:i4>0</vt:i4>
      </vt:variant>
      <vt:variant>
        <vt:i4>5</vt:i4>
      </vt:variant>
      <vt:variant>
        <vt:lpwstr>http://www.osti.gov/scitech/)</vt:lpwstr>
      </vt:variant>
      <vt:variant>
        <vt:lpwstr/>
      </vt:variant>
      <vt:variant>
        <vt:i4>3604607</vt:i4>
      </vt:variant>
      <vt:variant>
        <vt:i4>0</vt:i4>
      </vt:variant>
      <vt:variant>
        <vt:i4>0</vt:i4>
      </vt:variant>
      <vt:variant>
        <vt:i4>5</vt:i4>
      </vt:variant>
      <vt:variant>
        <vt:lpwstr>http://www.anl.gov/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Number</dc:title>
  <dc:creator>Default User</dc:creator>
  <cp:lastModifiedBy>Palmer, Stanley Clayton</cp:lastModifiedBy>
  <cp:revision>2</cp:revision>
  <cp:lastPrinted>2012-11-14T13:08:00Z</cp:lastPrinted>
  <dcterms:created xsi:type="dcterms:W3CDTF">2019-09-13T22:38:00Z</dcterms:created>
  <dcterms:modified xsi:type="dcterms:W3CDTF">2019-09-13T22:38:00Z</dcterms:modified>
</cp:coreProperties>
</file>